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2DF7" w14:textId="5634079B" w:rsidR="00F778EF" w:rsidRPr="00DA2F6A" w:rsidRDefault="00C276AA" w:rsidP="009A4C1E">
      <w:pPr>
        <w:pStyle w:val="NormaleWeb"/>
        <w:spacing w:before="0" w:beforeAutospacing="0" w:after="0" w:afterAutospacing="0"/>
        <w:jc w:val="center"/>
        <w:rPr>
          <w:rFonts w:ascii="Tahoma" w:eastAsiaTheme="minorEastAsia" w:hAnsi="Tahoma" w:cs="Tahoma"/>
          <w:bCs/>
          <w:color w:val="000000" w:themeColor="text1"/>
          <w:kern w:val="24"/>
          <w:sz w:val="22"/>
          <w:szCs w:val="22"/>
          <w:u w:val="single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  <w:sz w:val="22"/>
          <w:szCs w:val="22"/>
        </w:rPr>
        <w:t xml:space="preserve"> </w:t>
      </w:r>
      <w:r w:rsidR="001E00D2" w:rsidRPr="00DA2F6A">
        <w:rPr>
          <w:rFonts w:ascii="Tahoma" w:eastAsiaTheme="minorEastAsia" w:hAnsi="Tahoma" w:cs="Tahoma"/>
          <w:bCs/>
          <w:color w:val="000000" w:themeColor="text1"/>
          <w:kern w:val="24"/>
          <w:sz w:val="22"/>
          <w:szCs w:val="22"/>
          <w:u w:val="single"/>
        </w:rPr>
        <w:t>Comunica</w:t>
      </w:r>
      <w:r w:rsidR="005E4986" w:rsidRPr="00DA2F6A">
        <w:rPr>
          <w:rFonts w:ascii="Tahoma" w:eastAsiaTheme="minorEastAsia" w:hAnsi="Tahoma" w:cs="Tahoma"/>
          <w:bCs/>
          <w:color w:val="000000" w:themeColor="text1"/>
          <w:kern w:val="24"/>
          <w:sz w:val="22"/>
          <w:szCs w:val="22"/>
          <w:u w:val="single"/>
        </w:rPr>
        <w:t>to Stampa</w:t>
      </w:r>
    </w:p>
    <w:p w14:paraId="23071C6D" w14:textId="77777777" w:rsidR="006E107E" w:rsidRPr="00DA2F6A" w:rsidRDefault="006E107E" w:rsidP="009A4C1E">
      <w:pPr>
        <w:pStyle w:val="NormaleWeb"/>
        <w:spacing w:before="0" w:beforeAutospacing="0" w:after="0" w:afterAutospacing="0"/>
        <w:jc w:val="center"/>
        <w:rPr>
          <w:rFonts w:ascii="Tahoma" w:eastAsiaTheme="minorEastAsia" w:hAnsi="Tahoma" w:cs="Tahoma"/>
          <w:b/>
          <w:kern w:val="24"/>
          <w:sz w:val="22"/>
          <w:szCs w:val="22"/>
        </w:rPr>
      </w:pPr>
    </w:p>
    <w:p w14:paraId="5AF49793" w14:textId="77777777" w:rsidR="001B2C45" w:rsidRDefault="00681271" w:rsidP="009A4C1E">
      <w:pPr>
        <w:spacing w:after="0" w:line="240" w:lineRule="auto"/>
        <w:jc w:val="center"/>
        <w:rPr>
          <w:rFonts w:ascii="Tahoma" w:eastAsiaTheme="minorEastAsia" w:hAnsi="Tahoma" w:cs="Tahoma"/>
          <w:b/>
          <w:bCs/>
          <w:kern w:val="24"/>
        </w:rPr>
      </w:pPr>
      <w:r w:rsidRPr="00DA2F6A">
        <w:rPr>
          <w:rFonts w:ascii="Tahoma" w:eastAsiaTheme="minorEastAsia" w:hAnsi="Tahoma" w:cs="Tahoma"/>
          <w:b/>
          <w:bCs/>
          <w:kern w:val="24"/>
        </w:rPr>
        <w:t>GRANTERRE</w:t>
      </w:r>
      <w:r w:rsidR="001A1192" w:rsidRPr="00DA2F6A">
        <w:rPr>
          <w:rFonts w:ascii="Tahoma" w:eastAsiaTheme="minorEastAsia" w:hAnsi="Tahoma" w:cs="Tahoma"/>
          <w:b/>
          <w:bCs/>
          <w:kern w:val="24"/>
        </w:rPr>
        <w:t xml:space="preserve">: </w:t>
      </w:r>
      <w:r w:rsidR="00BA136C">
        <w:rPr>
          <w:rFonts w:ascii="Tahoma" w:eastAsiaTheme="minorEastAsia" w:hAnsi="Tahoma" w:cs="Tahoma"/>
          <w:b/>
          <w:bCs/>
          <w:kern w:val="24"/>
        </w:rPr>
        <w:t xml:space="preserve">NEL BILANCIO DI SOSTENIBILITA’ </w:t>
      </w:r>
      <w:r w:rsidR="009034CF">
        <w:rPr>
          <w:rFonts w:ascii="Tahoma" w:eastAsiaTheme="minorEastAsia" w:hAnsi="Tahoma" w:cs="Tahoma"/>
          <w:b/>
          <w:bCs/>
          <w:kern w:val="24"/>
        </w:rPr>
        <w:t>202</w:t>
      </w:r>
      <w:r w:rsidR="00B43A71">
        <w:rPr>
          <w:rFonts w:ascii="Tahoma" w:eastAsiaTheme="minorEastAsia" w:hAnsi="Tahoma" w:cs="Tahoma"/>
          <w:b/>
          <w:bCs/>
          <w:kern w:val="24"/>
        </w:rPr>
        <w:t>4</w:t>
      </w:r>
      <w:r w:rsidR="009034CF">
        <w:rPr>
          <w:rFonts w:ascii="Tahoma" w:eastAsiaTheme="minorEastAsia" w:hAnsi="Tahoma" w:cs="Tahoma"/>
          <w:b/>
          <w:bCs/>
          <w:kern w:val="24"/>
        </w:rPr>
        <w:t xml:space="preserve"> </w:t>
      </w:r>
      <w:r w:rsidR="00FD062B" w:rsidRPr="00A03A6F">
        <w:rPr>
          <w:rFonts w:ascii="Tahoma" w:eastAsiaTheme="minorEastAsia" w:hAnsi="Tahoma" w:cs="Tahoma"/>
          <w:b/>
          <w:bCs/>
          <w:kern w:val="24"/>
        </w:rPr>
        <w:t xml:space="preserve">EFFICIENZA </w:t>
      </w:r>
      <w:r w:rsidR="00AD138E">
        <w:rPr>
          <w:rFonts w:ascii="Tahoma" w:eastAsiaTheme="minorEastAsia" w:hAnsi="Tahoma" w:cs="Tahoma"/>
          <w:b/>
          <w:bCs/>
          <w:kern w:val="24"/>
        </w:rPr>
        <w:t>IDRICA</w:t>
      </w:r>
      <w:r w:rsidR="007C7291">
        <w:rPr>
          <w:rFonts w:ascii="Tahoma" w:eastAsiaTheme="minorEastAsia" w:hAnsi="Tahoma" w:cs="Tahoma"/>
          <w:b/>
          <w:bCs/>
          <w:kern w:val="24"/>
        </w:rPr>
        <w:t xml:space="preserve"> </w:t>
      </w:r>
      <w:r w:rsidR="001B2C45">
        <w:rPr>
          <w:rFonts w:ascii="Tahoma" w:eastAsiaTheme="minorEastAsia" w:hAnsi="Tahoma" w:cs="Tahoma"/>
          <w:b/>
          <w:bCs/>
          <w:kern w:val="24"/>
        </w:rPr>
        <w:t>(-11%)</w:t>
      </w:r>
    </w:p>
    <w:p w14:paraId="53F9ED1E" w14:textId="473F58AF" w:rsidR="0020409B" w:rsidRDefault="007C7291" w:rsidP="009A4C1E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eastAsiaTheme="minorEastAsia" w:hAnsi="Tahoma" w:cs="Tahoma"/>
          <w:b/>
          <w:bCs/>
          <w:kern w:val="24"/>
        </w:rPr>
        <w:t>ED</w:t>
      </w:r>
      <w:r w:rsidR="00AD138E">
        <w:rPr>
          <w:rFonts w:ascii="Tahoma" w:eastAsiaTheme="minorEastAsia" w:hAnsi="Tahoma" w:cs="Tahoma"/>
          <w:b/>
          <w:bCs/>
          <w:kern w:val="24"/>
        </w:rPr>
        <w:t xml:space="preserve"> </w:t>
      </w:r>
      <w:r w:rsidR="00073BCC">
        <w:rPr>
          <w:rFonts w:ascii="Tahoma" w:eastAsiaTheme="minorEastAsia" w:hAnsi="Tahoma" w:cs="Tahoma"/>
          <w:b/>
          <w:bCs/>
          <w:kern w:val="24"/>
        </w:rPr>
        <w:t>ENERGETICA</w:t>
      </w:r>
      <w:r w:rsidR="001B2C45">
        <w:rPr>
          <w:rFonts w:ascii="Tahoma" w:eastAsiaTheme="minorEastAsia" w:hAnsi="Tahoma" w:cs="Tahoma"/>
          <w:b/>
          <w:bCs/>
          <w:kern w:val="24"/>
        </w:rPr>
        <w:t xml:space="preserve"> (-1%)</w:t>
      </w:r>
      <w:r w:rsidR="007C6A63">
        <w:rPr>
          <w:rFonts w:ascii="Tahoma" w:eastAsiaTheme="minorEastAsia" w:hAnsi="Tahoma" w:cs="Tahoma"/>
          <w:b/>
          <w:bCs/>
          <w:kern w:val="24"/>
        </w:rPr>
        <w:t xml:space="preserve">, </w:t>
      </w:r>
      <w:r w:rsidR="00FB29EC">
        <w:rPr>
          <w:rFonts w:ascii="Tahoma" w:hAnsi="Tahoma" w:cs="Tahoma"/>
          <w:b/>
          <w:bCs/>
        </w:rPr>
        <w:t>DONAZIONI ALIMENTARI</w:t>
      </w:r>
      <w:r w:rsidR="001B2C45">
        <w:rPr>
          <w:rFonts w:ascii="Tahoma" w:hAnsi="Tahoma" w:cs="Tahoma"/>
          <w:b/>
          <w:bCs/>
        </w:rPr>
        <w:t xml:space="preserve"> (</w:t>
      </w:r>
      <w:r w:rsidR="00B74A0E">
        <w:rPr>
          <w:rFonts w:ascii="Tahoma" w:hAnsi="Tahoma" w:cs="Tahoma"/>
          <w:b/>
          <w:bCs/>
        </w:rPr>
        <w:t>+57%</w:t>
      </w:r>
      <w:r w:rsidR="001B2C45">
        <w:rPr>
          <w:rFonts w:ascii="Tahoma" w:hAnsi="Tahoma" w:cs="Tahoma"/>
          <w:b/>
          <w:bCs/>
        </w:rPr>
        <w:t>)</w:t>
      </w:r>
      <w:r>
        <w:rPr>
          <w:rFonts w:ascii="Tahoma" w:hAnsi="Tahoma" w:cs="Tahoma"/>
          <w:b/>
          <w:bCs/>
        </w:rPr>
        <w:t>,</w:t>
      </w:r>
    </w:p>
    <w:p w14:paraId="18B54FEC" w14:textId="1B477B62" w:rsidR="00B40449" w:rsidRPr="00DA2F6A" w:rsidRDefault="00FB29EC" w:rsidP="009A4C1E">
      <w:pPr>
        <w:spacing w:after="0" w:line="240" w:lineRule="auto"/>
        <w:jc w:val="center"/>
        <w:rPr>
          <w:rFonts w:ascii="Tahoma" w:eastAsiaTheme="minorEastAsia" w:hAnsi="Tahoma" w:cs="Tahoma"/>
          <w:b/>
          <w:bCs/>
          <w:color w:val="FF0000"/>
          <w:kern w:val="24"/>
        </w:rPr>
      </w:pPr>
      <w:r>
        <w:rPr>
          <w:rFonts w:ascii="Tahoma" w:hAnsi="Tahoma" w:cs="Tahoma"/>
          <w:b/>
          <w:bCs/>
        </w:rPr>
        <w:t xml:space="preserve">FORMAZIONE </w:t>
      </w:r>
      <w:r w:rsidR="001B2C45">
        <w:rPr>
          <w:rFonts w:ascii="Tahoma" w:hAnsi="Tahoma" w:cs="Tahoma"/>
          <w:b/>
          <w:bCs/>
        </w:rPr>
        <w:t xml:space="preserve">(+28%) </w:t>
      </w:r>
      <w:r>
        <w:rPr>
          <w:rFonts w:ascii="Tahoma" w:hAnsi="Tahoma" w:cs="Tahoma"/>
          <w:b/>
          <w:bCs/>
        </w:rPr>
        <w:t>E SICUREZZA SUL LAVORO</w:t>
      </w:r>
      <w:r w:rsidR="001B2C45">
        <w:rPr>
          <w:rFonts w:ascii="Tahoma" w:hAnsi="Tahoma" w:cs="Tahoma"/>
          <w:b/>
          <w:bCs/>
        </w:rPr>
        <w:t xml:space="preserve"> (IF -14%)</w:t>
      </w:r>
    </w:p>
    <w:p w14:paraId="049742B6" w14:textId="77777777" w:rsidR="009A4C1E" w:rsidRDefault="009A4C1E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i/>
          <w:iCs/>
          <w:kern w:val="24"/>
          <w:sz w:val="20"/>
          <w:szCs w:val="20"/>
        </w:rPr>
      </w:pPr>
    </w:p>
    <w:p w14:paraId="6187FF30" w14:textId="01CEB794" w:rsidR="003651A0" w:rsidRPr="005B46B9" w:rsidRDefault="00214EB7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kern w:val="24"/>
          <w:sz w:val="20"/>
          <w:szCs w:val="20"/>
        </w:rPr>
      </w:pPr>
      <w:r w:rsidRPr="005B46B9">
        <w:rPr>
          <w:rFonts w:ascii="Tahoma" w:eastAsiaTheme="minorEastAsia" w:hAnsi="Tahoma" w:cs="Tahoma"/>
          <w:i/>
          <w:iCs/>
          <w:kern w:val="24"/>
          <w:sz w:val="20"/>
          <w:szCs w:val="20"/>
        </w:rPr>
        <w:t xml:space="preserve">Modena, </w:t>
      </w:r>
      <w:r w:rsidR="0083743B">
        <w:rPr>
          <w:rFonts w:ascii="Tahoma" w:eastAsiaTheme="minorEastAsia" w:hAnsi="Tahoma" w:cs="Tahoma"/>
          <w:i/>
          <w:iCs/>
          <w:kern w:val="24"/>
          <w:sz w:val="20"/>
          <w:szCs w:val="20"/>
        </w:rPr>
        <w:t>17</w:t>
      </w:r>
      <w:r w:rsidR="001E64A2" w:rsidRPr="005B46B9">
        <w:rPr>
          <w:rFonts w:ascii="Tahoma" w:eastAsiaTheme="minorEastAsia" w:hAnsi="Tahoma" w:cs="Tahoma"/>
          <w:i/>
          <w:iCs/>
          <w:kern w:val="24"/>
          <w:sz w:val="20"/>
          <w:szCs w:val="20"/>
        </w:rPr>
        <w:t xml:space="preserve"> giugno</w:t>
      </w:r>
      <w:r w:rsidRPr="005B46B9">
        <w:rPr>
          <w:rFonts w:ascii="Tahoma" w:eastAsiaTheme="minorEastAsia" w:hAnsi="Tahoma" w:cs="Tahoma"/>
          <w:i/>
          <w:iCs/>
          <w:kern w:val="24"/>
          <w:sz w:val="20"/>
          <w:szCs w:val="20"/>
        </w:rPr>
        <w:t xml:space="preserve"> 202</w:t>
      </w:r>
      <w:r w:rsidR="00B43A71" w:rsidRPr="005B46B9">
        <w:rPr>
          <w:rFonts w:ascii="Tahoma" w:eastAsiaTheme="minorEastAsia" w:hAnsi="Tahoma" w:cs="Tahoma"/>
          <w:i/>
          <w:iCs/>
          <w:kern w:val="24"/>
          <w:sz w:val="20"/>
          <w:szCs w:val="20"/>
        </w:rPr>
        <w:t>5</w:t>
      </w:r>
      <w:r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– </w:t>
      </w:r>
      <w:bookmarkStart w:id="0" w:name="_Hlk199863424"/>
      <w:r w:rsidRPr="005B46B9">
        <w:rPr>
          <w:rFonts w:ascii="Tahoma" w:eastAsiaTheme="minorEastAsia" w:hAnsi="Tahoma" w:cs="Tahoma"/>
          <w:sz w:val="20"/>
          <w:szCs w:val="20"/>
        </w:rPr>
        <w:t xml:space="preserve">Il </w:t>
      </w:r>
      <w:r w:rsidRPr="005B46B9">
        <w:rPr>
          <w:rFonts w:ascii="Tahoma" w:eastAsiaTheme="minorEastAsia" w:hAnsi="Tahoma" w:cs="Tahoma"/>
          <w:b/>
          <w:bCs/>
          <w:sz w:val="20"/>
          <w:szCs w:val="20"/>
        </w:rPr>
        <w:t xml:space="preserve">Gruppo </w:t>
      </w:r>
      <w:r w:rsidR="00891AA6" w:rsidRPr="005B46B9">
        <w:rPr>
          <w:rFonts w:ascii="Tahoma" w:eastAsiaTheme="minorEastAsia" w:hAnsi="Tahoma" w:cs="Tahoma"/>
          <w:b/>
          <w:bCs/>
          <w:sz w:val="20"/>
          <w:szCs w:val="20"/>
        </w:rPr>
        <w:t>GranTerre</w:t>
      </w:r>
      <w:r w:rsidR="003651A0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, </w:t>
      </w:r>
      <w:r w:rsidR="003651A0" w:rsidRPr="005B46B9">
        <w:rPr>
          <w:rFonts w:ascii="Tahoma" w:hAnsi="Tahoma" w:cs="Tahoma"/>
          <w:sz w:val="20"/>
          <w:szCs w:val="20"/>
        </w:rPr>
        <w:t xml:space="preserve">leader nel settore delle eccellenze </w:t>
      </w:r>
      <w:r w:rsidR="009F74BA" w:rsidRPr="005B46B9">
        <w:rPr>
          <w:rFonts w:ascii="Tahoma" w:hAnsi="Tahoma" w:cs="Tahoma"/>
          <w:sz w:val="20"/>
          <w:szCs w:val="20"/>
        </w:rPr>
        <w:t xml:space="preserve">Made in </w:t>
      </w:r>
      <w:proofErr w:type="spellStart"/>
      <w:r w:rsidR="009F74BA" w:rsidRPr="005B46B9">
        <w:rPr>
          <w:rFonts w:ascii="Tahoma" w:hAnsi="Tahoma" w:cs="Tahoma"/>
          <w:sz w:val="20"/>
          <w:szCs w:val="20"/>
        </w:rPr>
        <w:t>Italy</w:t>
      </w:r>
      <w:proofErr w:type="spellEnd"/>
      <w:r w:rsidR="009F74BA" w:rsidRPr="005B46B9">
        <w:rPr>
          <w:rFonts w:ascii="Tahoma" w:hAnsi="Tahoma" w:cs="Tahoma"/>
          <w:sz w:val="20"/>
          <w:szCs w:val="20"/>
        </w:rPr>
        <w:t xml:space="preserve"> </w:t>
      </w:r>
      <w:r w:rsidR="003651A0" w:rsidRPr="005B46B9">
        <w:rPr>
          <w:rFonts w:ascii="Tahoma" w:hAnsi="Tahoma" w:cs="Tahoma"/>
          <w:sz w:val="20"/>
          <w:szCs w:val="20"/>
        </w:rPr>
        <w:t>dei salumi e dei formaggi stagionati, burro e piatti pronti, con 11 DOP e 6 IGP nel suo paniere, titolar</w:t>
      </w:r>
      <w:r w:rsidR="001A05EB" w:rsidRPr="005B46B9">
        <w:rPr>
          <w:rFonts w:ascii="Tahoma" w:hAnsi="Tahoma" w:cs="Tahoma"/>
          <w:sz w:val="20"/>
          <w:szCs w:val="20"/>
        </w:rPr>
        <w:t>e</w:t>
      </w:r>
      <w:r w:rsidR="003651A0" w:rsidRPr="005B46B9">
        <w:rPr>
          <w:rFonts w:ascii="Tahoma" w:hAnsi="Tahoma" w:cs="Tahoma"/>
          <w:sz w:val="20"/>
          <w:szCs w:val="20"/>
        </w:rPr>
        <w:t xml:space="preserve"> di marche quali Parmareggio, Parmacotto, Casa Modena, </w:t>
      </w:r>
      <w:proofErr w:type="spellStart"/>
      <w:r w:rsidR="003651A0" w:rsidRPr="005B46B9">
        <w:rPr>
          <w:rFonts w:ascii="Tahoma" w:hAnsi="Tahoma" w:cs="Tahoma"/>
          <w:sz w:val="20"/>
          <w:szCs w:val="20"/>
        </w:rPr>
        <w:t>Senfter</w:t>
      </w:r>
      <w:proofErr w:type="spellEnd"/>
      <w:r w:rsidR="003651A0" w:rsidRPr="005B46B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651A0" w:rsidRPr="005B46B9">
        <w:rPr>
          <w:rFonts w:ascii="Tahoma" w:hAnsi="Tahoma" w:cs="Tahoma"/>
          <w:sz w:val="20"/>
          <w:szCs w:val="20"/>
        </w:rPr>
        <w:t>Agriform</w:t>
      </w:r>
      <w:proofErr w:type="spellEnd"/>
      <w:r w:rsidR="003651A0" w:rsidRPr="005B46B9">
        <w:rPr>
          <w:rFonts w:ascii="Tahoma" w:hAnsi="Tahoma" w:cs="Tahoma"/>
          <w:sz w:val="20"/>
          <w:szCs w:val="20"/>
        </w:rPr>
        <w:t xml:space="preserve">, Alcisa, Teneroni, Gran Tenerone, Liberamente e altre, oltre al company name e brand federatore GranTerre, </w:t>
      </w:r>
      <w:r w:rsidR="008A5BBF" w:rsidRPr="005B46B9">
        <w:rPr>
          <w:rFonts w:ascii="Tahoma" w:eastAsiaTheme="minorEastAsia" w:hAnsi="Tahoma" w:cs="Tahoma"/>
          <w:kern w:val="24"/>
          <w:sz w:val="20"/>
          <w:szCs w:val="20"/>
        </w:rPr>
        <w:t>ha pubblicato</w:t>
      </w:r>
      <w:r w:rsidR="00891AA6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il </w:t>
      </w:r>
      <w:r w:rsidR="00891AA6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Bilancio di Sostenibilità</w:t>
      </w:r>
      <w:r w:rsidR="001056C7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202</w:t>
      </w:r>
      <w:r w:rsidR="00B43A71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4</w:t>
      </w:r>
      <w:r w:rsidR="003651A0" w:rsidRPr="005B46B9">
        <w:rPr>
          <w:rFonts w:ascii="Tahoma" w:eastAsiaTheme="minorEastAsia" w:hAnsi="Tahoma" w:cs="Tahoma"/>
          <w:kern w:val="24"/>
          <w:sz w:val="20"/>
          <w:szCs w:val="20"/>
        </w:rPr>
        <w:t>.</w:t>
      </w:r>
    </w:p>
    <w:bookmarkEnd w:id="0"/>
    <w:p w14:paraId="7CC9A4AE" w14:textId="77777777" w:rsidR="009A4C1E" w:rsidRDefault="009A4C1E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kern w:val="24"/>
          <w:sz w:val="20"/>
          <w:szCs w:val="20"/>
        </w:rPr>
      </w:pPr>
    </w:p>
    <w:p w14:paraId="3A3A6981" w14:textId="265A99C3" w:rsidR="00073BCC" w:rsidRPr="005B46B9" w:rsidRDefault="005C5413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kern w:val="24"/>
          <w:sz w:val="20"/>
          <w:szCs w:val="20"/>
        </w:rPr>
      </w:pPr>
      <w:r w:rsidRPr="005B46B9">
        <w:rPr>
          <w:rFonts w:ascii="Tahoma" w:eastAsiaTheme="minorEastAsia" w:hAnsi="Tahoma" w:cs="Tahoma"/>
          <w:kern w:val="24"/>
          <w:sz w:val="20"/>
          <w:szCs w:val="20"/>
        </w:rPr>
        <w:t>I</w:t>
      </w:r>
      <w:r w:rsidR="004C2869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l Bilancio </w:t>
      </w:r>
      <w:r w:rsidR="005C6790" w:rsidRPr="005B46B9">
        <w:rPr>
          <w:rFonts w:ascii="Tahoma" w:eastAsiaTheme="minorEastAsia" w:hAnsi="Tahoma" w:cs="Tahoma"/>
          <w:kern w:val="24"/>
          <w:sz w:val="20"/>
          <w:szCs w:val="20"/>
        </w:rPr>
        <w:t>illustra le politiche e i sistemi adottati</w:t>
      </w:r>
      <w:r w:rsidR="00111CD3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- </w:t>
      </w:r>
      <w:r w:rsidR="002D2F2C" w:rsidRPr="005B46B9">
        <w:rPr>
          <w:rFonts w:ascii="Tahoma" w:eastAsiaTheme="minorEastAsia" w:hAnsi="Tahoma" w:cs="Tahoma"/>
          <w:kern w:val="24"/>
          <w:sz w:val="20"/>
          <w:szCs w:val="20"/>
        </w:rPr>
        <w:t>in linea con la Governance aziendale dedicata alla sostenibilità</w:t>
      </w:r>
      <w:r w:rsidR="00111CD3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-</w:t>
      </w:r>
      <w:r w:rsidR="005C6790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per la gestione d</w:t>
      </w:r>
      <w:r w:rsidR="00632DAB" w:rsidRPr="005B46B9">
        <w:rPr>
          <w:rFonts w:ascii="Tahoma" w:eastAsiaTheme="minorEastAsia" w:hAnsi="Tahoma" w:cs="Tahoma"/>
          <w:kern w:val="24"/>
          <w:sz w:val="20"/>
          <w:szCs w:val="20"/>
        </w:rPr>
        <w:t>e</w:t>
      </w:r>
      <w:r w:rsidR="005C6790" w:rsidRPr="005B46B9">
        <w:rPr>
          <w:rFonts w:ascii="Tahoma" w:eastAsiaTheme="minorEastAsia" w:hAnsi="Tahoma" w:cs="Tahoma"/>
          <w:kern w:val="24"/>
          <w:sz w:val="20"/>
          <w:szCs w:val="20"/>
        </w:rPr>
        <w:t>lle attività.</w:t>
      </w:r>
      <w:r w:rsidR="004C2869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  <w:r w:rsidR="009F74BA" w:rsidRPr="005B46B9">
        <w:rPr>
          <w:rFonts w:ascii="Tahoma" w:eastAsiaTheme="minorEastAsia" w:hAnsi="Tahoma" w:cs="Tahoma"/>
          <w:kern w:val="24"/>
          <w:sz w:val="20"/>
          <w:szCs w:val="20"/>
        </w:rPr>
        <w:t>Il focus p</w:t>
      </w:r>
      <w:r w:rsidR="00EC7F8D" w:rsidRPr="005B46B9">
        <w:rPr>
          <w:rFonts w:ascii="Tahoma" w:eastAsiaTheme="minorEastAsia" w:hAnsi="Tahoma" w:cs="Tahoma"/>
          <w:kern w:val="24"/>
          <w:sz w:val="20"/>
          <w:szCs w:val="20"/>
        </w:rPr>
        <w:t>rincipale</w:t>
      </w:r>
      <w:r w:rsidR="009F74BA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nel 2024 ha riguardato la </w:t>
      </w:r>
      <w:r w:rsidR="00EC7F8D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riduzione de</w:t>
      </w:r>
      <w:r w:rsidR="009F74BA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i consumi idrici, </w:t>
      </w:r>
      <w:r w:rsidR="00F03D8D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l’efficientamento dei consumi energetici e gli investimenti per l’autoproduzione di energia termica ed elettrica</w:t>
      </w:r>
      <w:r w:rsidR="00373328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,</w:t>
      </w:r>
      <w:r w:rsidR="00B82628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</w:t>
      </w:r>
      <w:r w:rsidR="00373328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il</w:t>
      </w:r>
      <w:r w:rsidR="008E4EFA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packaging </w:t>
      </w:r>
      <w:r w:rsidR="00AA2532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innovativo ed </w:t>
      </w:r>
      <w:r w:rsidR="00EC7F8D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ecologico</w:t>
      </w:r>
      <w:r w:rsidR="002D2F2C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,</w:t>
      </w:r>
      <w:r w:rsidR="00F52FBB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</w:t>
      </w:r>
      <w:r w:rsidR="00DB5B91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l’</w:t>
      </w:r>
      <w:r w:rsidR="00F52FBB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attenzione al territorio e alle persone in difficoltà, formazione</w:t>
      </w:r>
      <w:r w:rsidR="00DC41D1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</w:t>
      </w:r>
      <w:r w:rsidR="00E72ED3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e sicurezza sul lavoro</w:t>
      </w:r>
      <w:r w:rsidR="00DB5B91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e, come sempre, filiera cooperativa e </w:t>
      </w:r>
      <w:r w:rsidR="00E72ED3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massimi standard di </w:t>
      </w:r>
      <w:r w:rsidR="00901A75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qualità</w:t>
      </w:r>
      <w:r w:rsidR="00F52FBB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e sicurezza</w:t>
      </w:r>
      <w:r w:rsidR="00E72ED3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 xml:space="preserve"> alimentare</w:t>
      </w:r>
      <w:r w:rsidR="00A82167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. </w:t>
      </w:r>
    </w:p>
    <w:p w14:paraId="63FBCCF0" w14:textId="77777777" w:rsidR="009A4C1E" w:rsidRDefault="009A4C1E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kern w:val="24"/>
          <w:sz w:val="20"/>
          <w:szCs w:val="20"/>
        </w:rPr>
      </w:pPr>
    </w:p>
    <w:p w14:paraId="1B6B3D1F" w14:textId="7984EF79" w:rsidR="000633A7" w:rsidRPr="005B46B9" w:rsidRDefault="007C7291" w:rsidP="009A4C1E">
      <w:pPr>
        <w:pStyle w:val="NormaleWeb"/>
        <w:spacing w:before="0" w:beforeAutospacing="0" w:after="0" w:afterAutospacing="0"/>
        <w:jc w:val="both"/>
        <w:rPr>
          <w:rFonts w:ascii="Tahoma" w:eastAsiaTheme="minorEastAsia" w:hAnsi="Tahoma" w:cs="Tahoma"/>
          <w:kern w:val="24"/>
          <w:sz w:val="20"/>
          <w:szCs w:val="20"/>
        </w:rPr>
      </w:pPr>
      <w:r>
        <w:rPr>
          <w:rFonts w:ascii="Tahoma" w:eastAsiaTheme="minorEastAsia" w:hAnsi="Tahoma" w:cs="Tahoma"/>
          <w:kern w:val="24"/>
          <w:sz w:val="20"/>
          <w:szCs w:val="20"/>
        </w:rPr>
        <w:t>Nel</w:t>
      </w:r>
      <w:r w:rsidR="0013379C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2024 </w:t>
      </w:r>
      <w:r>
        <w:rPr>
          <w:rFonts w:ascii="Tahoma" w:eastAsiaTheme="minorEastAsia" w:hAnsi="Tahoma" w:cs="Tahoma"/>
          <w:kern w:val="24"/>
          <w:sz w:val="20"/>
          <w:szCs w:val="20"/>
        </w:rPr>
        <w:t>è stato consolidato il</w:t>
      </w:r>
      <w:r w:rsidR="00485127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percorso di </w:t>
      </w:r>
      <w:r w:rsidR="00485127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stakeholder engagement</w:t>
      </w:r>
      <w:r w:rsidR="0013379C" w:rsidRPr="005B46B9">
        <w:rPr>
          <w:rFonts w:ascii="Tahoma" w:eastAsiaTheme="minorEastAsia" w:hAnsi="Tahoma" w:cs="Tahoma"/>
          <w:b/>
          <w:bCs/>
          <w:kern w:val="24"/>
          <w:sz w:val="20"/>
          <w:szCs w:val="20"/>
        </w:rPr>
        <w:t>,</w:t>
      </w:r>
      <w:r w:rsidR="00485127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riattivando </w:t>
      </w:r>
      <w:r>
        <w:rPr>
          <w:rFonts w:ascii="Tahoma" w:eastAsiaTheme="minorEastAsia" w:hAnsi="Tahoma" w:cs="Tahoma"/>
          <w:kern w:val="24"/>
          <w:sz w:val="20"/>
          <w:szCs w:val="20"/>
        </w:rPr>
        <w:t>rapporti storici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e </w:t>
      </w:r>
      <w:r w:rsidR="00CB1708" w:rsidRPr="005B46B9">
        <w:rPr>
          <w:rFonts w:ascii="Tahoma" w:eastAsiaTheme="minorEastAsia" w:hAnsi="Tahoma" w:cs="Tahoma"/>
          <w:kern w:val="24"/>
          <w:sz w:val="20"/>
          <w:szCs w:val="20"/>
        </w:rPr>
        <w:t>allargando il confronto a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  <w:r w:rsidR="00CB1708" w:rsidRPr="005B46B9">
        <w:rPr>
          <w:rFonts w:ascii="Tahoma" w:eastAsiaTheme="minorEastAsia" w:hAnsi="Tahoma" w:cs="Tahoma"/>
          <w:kern w:val="24"/>
          <w:sz w:val="20"/>
          <w:szCs w:val="20"/>
        </w:rPr>
        <w:t>nuovi interlocutori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. </w:t>
      </w:r>
      <w:r w:rsidR="00CD0901" w:rsidRPr="005B46B9">
        <w:rPr>
          <w:rFonts w:ascii="Tahoma" w:eastAsiaTheme="minorEastAsia" w:hAnsi="Tahoma" w:cs="Tahoma"/>
          <w:kern w:val="24"/>
          <w:sz w:val="20"/>
          <w:szCs w:val="20"/>
        </w:rPr>
        <w:t>Al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percorso </w:t>
      </w:r>
      <w:r w:rsidR="00CD0901" w:rsidRPr="005B46B9">
        <w:rPr>
          <w:rFonts w:ascii="Tahoma" w:eastAsiaTheme="minorEastAsia" w:hAnsi="Tahoma" w:cs="Tahoma"/>
          <w:kern w:val="24"/>
          <w:sz w:val="20"/>
          <w:szCs w:val="20"/>
        </w:rPr>
        <w:t>hanno partecipato</w:t>
      </w:r>
      <w:r w:rsidR="00FF46B7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  <w:r w:rsidR="0013379C" w:rsidRPr="005B46B9">
        <w:rPr>
          <w:rFonts w:ascii="Tahoma" w:eastAsiaTheme="minorEastAsia" w:hAnsi="Tahoma" w:cs="Tahoma"/>
          <w:kern w:val="24"/>
          <w:sz w:val="20"/>
          <w:szCs w:val="20"/>
        </w:rPr>
        <w:t>clienti, fornitori, istituti finanziari, associazioni del terzo settore,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esperti della sostenibilità e della nutrizione ed educazione</w:t>
      </w:r>
      <w:r w:rsidR="0013379C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alimentare. </w:t>
      </w:r>
      <w:r w:rsidR="009A4C1E">
        <w:rPr>
          <w:rFonts w:ascii="Tahoma" w:eastAsiaTheme="minorEastAsia" w:hAnsi="Tahoma" w:cs="Tahoma"/>
          <w:kern w:val="24"/>
          <w:sz w:val="20"/>
          <w:szCs w:val="20"/>
        </w:rPr>
        <w:t>È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stata</w:t>
      </w:r>
      <w:r>
        <w:rPr>
          <w:rFonts w:ascii="Tahoma" w:eastAsiaTheme="minorEastAsia" w:hAnsi="Tahoma" w:cs="Tahoma"/>
          <w:kern w:val="24"/>
          <w:sz w:val="20"/>
          <w:szCs w:val="20"/>
        </w:rPr>
        <w:t xml:space="preserve"> anche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condivisa una survey online rivolta a</w:t>
      </w:r>
      <w:r w:rsidR="0046425E">
        <w:rPr>
          <w:rFonts w:ascii="Tahoma" w:eastAsiaTheme="minorEastAsia" w:hAnsi="Tahoma" w:cs="Tahoma"/>
          <w:kern w:val="24"/>
          <w:sz w:val="20"/>
          <w:szCs w:val="20"/>
        </w:rPr>
        <w:t>gl</w:t>
      </w:r>
      <w:r w:rsidR="00B42464" w:rsidRPr="005B46B9">
        <w:rPr>
          <w:rFonts w:ascii="Tahoma" w:eastAsiaTheme="minorEastAsia" w:hAnsi="Tahoma" w:cs="Tahoma"/>
          <w:kern w:val="24"/>
          <w:sz w:val="20"/>
          <w:szCs w:val="20"/>
        </w:rPr>
        <w:t>i iscritti al programma</w:t>
      </w:r>
      <w:r w:rsidR="00EE251E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fedeltà cui hanno risposto circa 1000 consumatori. </w:t>
      </w:r>
      <w:r w:rsidR="00C52BF3"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 </w:t>
      </w:r>
    </w:p>
    <w:p w14:paraId="1946DC60" w14:textId="3F9D5F70" w:rsidR="007A6DB5" w:rsidRPr="005B46B9" w:rsidRDefault="00DB5B91" w:rsidP="009A4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6B9">
        <w:rPr>
          <w:rFonts w:ascii="Tahoma" w:hAnsi="Tahoma" w:cs="Tahoma"/>
          <w:sz w:val="20"/>
          <w:szCs w:val="20"/>
        </w:rPr>
        <w:t>L</w:t>
      </w:r>
      <w:r w:rsidR="00D67180" w:rsidRPr="005B46B9">
        <w:rPr>
          <w:rFonts w:ascii="Tahoma" w:hAnsi="Tahoma" w:cs="Tahoma"/>
          <w:sz w:val="20"/>
          <w:szCs w:val="20"/>
        </w:rPr>
        <w:t xml:space="preserve">a </w:t>
      </w:r>
      <w:r w:rsidR="00D67180" w:rsidRPr="005B46B9">
        <w:rPr>
          <w:rFonts w:ascii="Tahoma" w:hAnsi="Tahoma" w:cs="Tahoma"/>
          <w:b/>
          <w:bCs/>
          <w:sz w:val="20"/>
          <w:szCs w:val="20"/>
        </w:rPr>
        <w:t>performance ambientale</w:t>
      </w:r>
      <w:r w:rsidRPr="005B46B9">
        <w:rPr>
          <w:rFonts w:ascii="Tahoma" w:hAnsi="Tahoma" w:cs="Tahoma"/>
          <w:sz w:val="20"/>
          <w:szCs w:val="20"/>
        </w:rPr>
        <w:t>,</w:t>
      </w:r>
      <w:r w:rsidR="0091121E" w:rsidRPr="005B46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121E" w:rsidRPr="005B46B9">
        <w:rPr>
          <w:rFonts w:ascii="Tahoma" w:hAnsi="Tahoma" w:cs="Tahoma"/>
          <w:sz w:val="20"/>
          <w:szCs w:val="20"/>
        </w:rPr>
        <w:t>rapportata ai volumi di produzione</w:t>
      </w:r>
      <w:r w:rsidR="003A248B" w:rsidRPr="005B46B9">
        <w:rPr>
          <w:rFonts w:ascii="Tahoma" w:hAnsi="Tahoma" w:cs="Tahoma"/>
          <w:sz w:val="20"/>
          <w:szCs w:val="20"/>
        </w:rPr>
        <w:t xml:space="preserve">, registra una </w:t>
      </w:r>
      <w:r w:rsidR="004A5B2D" w:rsidRPr="005B46B9">
        <w:rPr>
          <w:rFonts w:ascii="Tahoma" w:hAnsi="Tahoma" w:cs="Tahoma"/>
          <w:sz w:val="20"/>
          <w:szCs w:val="20"/>
        </w:rPr>
        <w:t xml:space="preserve">ulteriore </w:t>
      </w:r>
      <w:r w:rsidRPr="005B46B9">
        <w:rPr>
          <w:rFonts w:ascii="Tahoma" w:hAnsi="Tahoma" w:cs="Tahoma"/>
          <w:sz w:val="20"/>
          <w:szCs w:val="20"/>
        </w:rPr>
        <w:t xml:space="preserve">significativa </w:t>
      </w:r>
      <w:r w:rsidR="00D67180" w:rsidRPr="005B46B9">
        <w:rPr>
          <w:rFonts w:ascii="Tahoma" w:hAnsi="Tahoma" w:cs="Tahoma"/>
          <w:sz w:val="20"/>
          <w:szCs w:val="20"/>
        </w:rPr>
        <w:t xml:space="preserve">riduzione </w:t>
      </w:r>
      <w:r w:rsidR="001B18AA" w:rsidRPr="005B46B9">
        <w:rPr>
          <w:rFonts w:ascii="Tahoma" w:hAnsi="Tahoma" w:cs="Tahoma"/>
          <w:sz w:val="20"/>
          <w:szCs w:val="20"/>
        </w:rPr>
        <w:t xml:space="preserve">sia dei consumi idrici (-11%) che </w:t>
      </w:r>
      <w:r w:rsidR="00AA2532" w:rsidRPr="005B46B9">
        <w:rPr>
          <w:rFonts w:ascii="Tahoma" w:hAnsi="Tahoma" w:cs="Tahoma"/>
          <w:sz w:val="20"/>
          <w:szCs w:val="20"/>
        </w:rPr>
        <w:t xml:space="preserve">dei consumi di energia </w:t>
      </w:r>
      <w:r w:rsidR="003969A1" w:rsidRPr="005B46B9">
        <w:rPr>
          <w:rFonts w:ascii="Tahoma" w:hAnsi="Tahoma" w:cs="Tahoma"/>
          <w:sz w:val="20"/>
          <w:szCs w:val="20"/>
        </w:rPr>
        <w:t xml:space="preserve">(–1%) </w:t>
      </w:r>
      <w:r w:rsidR="00AA2532" w:rsidRPr="005B46B9">
        <w:rPr>
          <w:rFonts w:ascii="Tahoma" w:hAnsi="Tahoma" w:cs="Tahoma"/>
          <w:sz w:val="20"/>
          <w:szCs w:val="20"/>
        </w:rPr>
        <w:t>per t</w:t>
      </w:r>
      <w:r w:rsidR="003969A1" w:rsidRPr="005B46B9">
        <w:rPr>
          <w:rFonts w:ascii="Tahoma" w:hAnsi="Tahoma" w:cs="Tahoma"/>
          <w:sz w:val="20"/>
          <w:szCs w:val="20"/>
        </w:rPr>
        <w:t>onnellata di prodotto</w:t>
      </w:r>
      <w:r w:rsidR="00767EE6" w:rsidRPr="005B46B9">
        <w:rPr>
          <w:rFonts w:ascii="Tahoma" w:hAnsi="Tahoma" w:cs="Tahoma"/>
          <w:sz w:val="20"/>
          <w:szCs w:val="20"/>
        </w:rPr>
        <w:t>,</w:t>
      </w:r>
      <w:r w:rsidR="003969A1" w:rsidRPr="005B46B9">
        <w:rPr>
          <w:rFonts w:ascii="Tahoma" w:hAnsi="Tahoma" w:cs="Tahoma"/>
          <w:sz w:val="20"/>
          <w:szCs w:val="20"/>
        </w:rPr>
        <w:t xml:space="preserve"> </w:t>
      </w:r>
      <w:r w:rsidRPr="005B46B9">
        <w:rPr>
          <w:rFonts w:ascii="Tahoma" w:hAnsi="Tahoma" w:cs="Tahoma"/>
          <w:sz w:val="20"/>
          <w:szCs w:val="20"/>
        </w:rPr>
        <w:t>mentre l’autoprod</w:t>
      </w:r>
      <w:r w:rsidR="001B18AA" w:rsidRPr="005B46B9">
        <w:rPr>
          <w:rFonts w:ascii="Tahoma" w:hAnsi="Tahoma" w:cs="Tahoma"/>
          <w:sz w:val="20"/>
          <w:szCs w:val="20"/>
        </w:rPr>
        <w:t>uzione</w:t>
      </w:r>
      <w:r w:rsidRPr="005B46B9">
        <w:rPr>
          <w:rFonts w:ascii="Tahoma" w:hAnsi="Tahoma" w:cs="Tahoma"/>
          <w:sz w:val="20"/>
          <w:szCs w:val="20"/>
        </w:rPr>
        <w:t xml:space="preserve"> da cogenerazione, fotovoltaico e geotermia per il fabbisogno energetico (termico ed elettrico) è salita </w:t>
      </w:r>
      <w:r w:rsidR="001B18AA" w:rsidRPr="005B46B9">
        <w:rPr>
          <w:rFonts w:ascii="Tahoma" w:hAnsi="Tahoma" w:cs="Tahoma"/>
          <w:sz w:val="20"/>
          <w:szCs w:val="20"/>
        </w:rPr>
        <w:t xml:space="preserve">positivamente </w:t>
      </w:r>
      <w:r w:rsidRPr="005B46B9">
        <w:rPr>
          <w:rFonts w:ascii="Tahoma" w:hAnsi="Tahoma" w:cs="Tahoma"/>
          <w:sz w:val="20"/>
          <w:szCs w:val="20"/>
        </w:rPr>
        <w:t>fino al 25%.</w:t>
      </w:r>
      <w:r w:rsidR="00373328" w:rsidRPr="005B46B9">
        <w:rPr>
          <w:rFonts w:ascii="Tahoma" w:hAnsi="Tahoma" w:cs="Tahoma"/>
          <w:sz w:val="20"/>
          <w:szCs w:val="20"/>
        </w:rPr>
        <w:t xml:space="preserve"> </w:t>
      </w:r>
      <w:r w:rsidR="00B82628" w:rsidRPr="005B46B9">
        <w:rPr>
          <w:rFonts w:ascii="Tahoma" w:hAnsi="Tahoma" w:cs="Tahoma"/>
          <w:sz w:val="20"/>
          <w:szCs w:val="20"/>
        </w:rPr>
        <w:t>I</w:t>
      </w:r>
      <w:r w:rsidR="00D67180" w:rsidRPr="005B46B9">
        <w:rPr>
          <w:rFonts w:ascii="Tahoma" w:hAnsi="Tahoma" w:cs="Tahoma"/>
          <w:sz w:val="20"/>
          <w:szCs w:val="20"/>
        </w:rPr>
        <w:t xml:space="preserve">l </w:t>
      </w:r>
      <w:r w:rsidR="00D67180" w:rsidRPr="005B46B9">
        <w:rPr>
          <w:rFonts w:ascii="Tahoma" w:hAnsi="Tahoma" w:cs="Tahoma"/>
          <w:b/>
          <w:bCs/>
          <w:sz w:val="20"/>
          <w:szCs w:val="20"/>
        </w:rPr>
        <w:t xml:space="preserve">packaging sostenibile </w:t>
      </w:r>
      <w:r w:rsidR="00B82628" w:rsidRPr="005B46B9">
        <w:rPr>
          <w:rFonts w:ascii="Tahoma" w:hAnsi="Tahoma" w:cs="Tahoma"/>
          <w:sz w:val="20"/>
          <w:szCs w:val="20"/>
        </w:rPr>
        <w:t xml:space="preserve">ha </w:t>
      </w:r>
      <w:r w:rsidR="008572AF" w:rsidRPr="005B46B9">
        <w:rPr>
          <w:rFonts w:ascii="Tahoma" w:hAnsi="Tahoma" w:cs="Tahoma"/>
          <w:sz w:val="20"/>
          <w:szCs w:val="20"/>
        </w:rPr>
        <w:t>visto la</w:t>
      </w:r>
      <w:r w:rsidR="00373328" w:rsidRPr="005B46B9">
        <w:rPr>
          <w:rFonts w:ascii="Tahoma" w:hAnsi="Tahoma" w:cs="Tahoma"/>
          <w:sz w:val="20"/>
          <w:szCs w:val="20"/>
        </w:rPr>
        <w:t xml:space="preserve"> lavorazione di ben 14 progetti innovativi differenti, con</w:t>
      </w:r>
      <w:r w:rsidR="008572AF" w:rsidRPr="005B46B9">
        <w:rPr>
          <w:rFonts w:ascii="Tahoma" w:hAnsi="Tahoma" w:cs="Tahoma"/>
          <w:sz w:val="20"/>
          <w:szCs w:val="20"/>
        </w:rPr>
        <w:t xml:space="preserve"> </w:t>
      </w:r>
      <w:r w:rsidR="003A248B" w:rsidRPr="005B46B9">
        <w:rPr>
          <w:rFonts w:ascii="Tahoma" w:hAnsi="Tahoma" w:cs="Tahoma"/>
          <w:sz w:val="20"/>
          <w:szCs w:val="20"/>
        </w:rPr>
        <w:t>riduzione d</w:t>
      </w:r>
      <w:r w:rsidR="008572AF" w:rsidRPr="005B46B9">
        <w:rPr>
          <w:rFonts w:ascii="Tahoma" w:hAnsi="Tahoma" w:cs="Tahoma"/>
          <w:sz w:val="20"/>
          <w:szCs w:val="20"/>
        </w:rPr>
        <w:t>egl</w:t>
      </w:r>
      <w:r w:rsidR="003A248B" w:rsidRPr="005B46B9">
        <w:rPr>
          <w:rFonts w:ascii="Tahoma" w:hAnsi="Tahoma" w:cs="Tahoma"/>
          <w:sz w:val="20"/>
          <w:szCs w:val="20"/>
        </w:rPr>
        <w:t>i spessori di imballaggio</w:t>
      </w:r>
      <w:r w:rsidR="008572AF" w:rsidRPr="005B46B9">
        <w:rPr>
          <w:rFonts w:ascii="Tahoma" w:hAnsi="Tahoma" w:cs="Tahoma"/>
          <w:sz w:val="20"/>
          <w:szCs w:val="20"/>
        </w:rPr>
        <w:t xml:space="preserve"> e</w:t>
      </w:r>
      <w:r w:rsidR="00F76A22" w:rsidRPr="005B46B9">
        <w:rPr>
          <w:rFonts w:ascii="Tahoma" w:hAnsi="Tahoma" w:cs="Tahoma"/>
          <w:sz w:val="20"/>
          <w:szCs w:val="20"/>
        </w:rPr>
        <w:t xml:space="preserve"> </w:t>
      </w:r>
      <w:r w:rsidR="0091121E" w:rsidRPr="005B46B9">
        <w:rPr>
          <w:rFonts w:ascii="Tahoma" w:hAnsi="Tahoma" w:cs="Tahoma"/>
          <w:sz w:val="20"/>
          <w:szCs w:val="20"/>
        </w:rPr>
        <w:t xml:space="preserve">il maggiore </w:t>
      </w:r>
      <w:r w:rsidR="00F76A22" w:rsidRPr="005B46B9">
        <w:rPr>
          <w:rFonts w:ascii="Tahoma" w:hAnsi="Tahoma" w:cs="Tahoma"/>
          <w:sz w:val="20"/>
          <w:szCs w:val="20"/>
        </w:rPr>
        <w:t>utilizzo di monomateriale riciclabile</w:t>
      </w:r>
      <w:r w:rsidR="00373328" w:rsidRPr="005B46B9">
        <w:rPr>
          <w:rFonts w:ascii="Tahoma" w:hAnsi="Tahoma" w:cs="Tahoma"/>
          <w:sz w:val="20"/>
          <w:szCs w:val="20"/>
        </w:rPr>
        <w:t xml:space="preserve"> (l’83% dei cartoni acquistati raggiungono l’obiettivo fissato sulla quota di riciclato, pari al 70%).</w:t>
      </w:r>
      <w:r w:rsidR="002655F7" w:rsidRPr="005B46B9">
        <w:rPr>
          <w:rFonts w:ascii="Tahoma" w:hAnsi="Tahoma" w:cs="Tahoma"/>
          <w:sz w:val="20"/>
          <w:szCs w:val="20"/>
        </w:rPr>
        <w:t xml:space="preserve"> </w:t>
      </w:r>
    </w:p>
    <w:p w14:paraId="69EC7422" w14:textId="02A37B08" w:rsidR="00D67180" w:rsidRDefault="007A6DB5" w:rsidP="009A4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6B9">
        <w:rPr>
          <w:rFonts w:ascii="Tahoma" w:hAnsi="Tahoma" w:cs="Tahoma"/>
          <w:sz w:val="20"/>
          <w:szCs w:val="20"/>
        </w:rPr>
        <w:t xml:space="preserve">Con riferimento alla </w:t>
      </w:r>
      <w:r w:rsidRPr="005B46B9">
        <w:rPr>
          <w:rFonts w:ascii="Tahoma" w:hAnsi="Tahoma" w:cs="Tahoma"/>
          <w:b/>
          <w:bCs/>
          <w:sz w:val="20"/>
          <w:szCs w:val="20"/>
        </w:rPr>
        <w:t>performance sociale</w:t>
      </w:r>
      <w:r w:rsidRPr="005B46B9">
        <w:rPr>
          <w:rFonts w:ascii="Tahoma" w:hAnsi="Tahoma" w:cs="Tahoma"/>
          <w:sz w:val="20"/>
          <w:szCs w:val="20"/>
        </w:rPr>
        <w:t xml:space="preserve"> è stato s</w:t>
      </w:r>
      <w:r w:rsidR="00A1722B" w:rsidRPr="005B46B9">
        <w:rPr>
          <w:rFonts w:ascii="Tahoma" w:hAnsi="Tahoma" w:cs="Tahoma"/>
          <w:sz w:val="20"/>
          <w:szCs w:val="20"/>
        </w:rPr>
        <w:t>i</w:t>
      </w:r>
      <w:r w:rsidRPr="005B46B9">
        <w:rPr>
          <w:rFonts w:ascii="Tahoma" w:hAnsi="Tahoma" w:cs="Tahoma"/>
          <w:sz w:val="20"/>
          <w:szCs w:val="20"/>
        </w:rPr>
        <w:t>gnificativo il ra</w:t>
      </w:r>
      <w:r w:rsidR="00C764D5" w:rsidRPr="005B46B9">
        <w:rPr>
          <w:rFonts w:ascii="Tahoma" w:hAnsi="Tahoma" w:cs="Tahoma"/>
          <w:sz w:val="20"/>
          <w:szCs w:val="20"/>
        </w:rPr>
        <w:t>fforzamento del</w:t>
      </w:r>
      <w:r w:rsidR="00373328" w:rsidRPr="005B46B9">
        <w:rPr>
          <w:rFonts w:ascii="Tahoma" w:hAnsi="Tahoma" w:cs="Tahoma"/>
          <w:sz w:val="20"/>
          <w:szCs w:val="20"/>
        </w:rPr>
        <w:t xml:space="preserve">l’impegno per </w:t>
      </w:r>
      <w:r w:rsidR="00AB0874" w:rsidRPr="005B46B9">
        <w:rPr>
          <w:rFonts w:ascii="Tahoma" w:hAnsi="Tahoma" w:cs="Tahoma"/>
          <w:b/>
          <w:bCs/>
          <w:sz w:val="20"/>
          <w:szCs w:val="20"/>
        </w:rPr>
        <w:t>c</w:t>
      </w:r>
      <w:r w:rsidR="00D67180" w:rsidRPr="005B46B9">
        <w:rPr>
          <w:rFonts w:ascii="Tahoma" w:hAnsi="Tahoma" w:cs="Tahoma"/>
          <w:b/>
          <w:bCs/>
          <w:sz w:val="20"/>
          <w:szCs w:val="20"/>
        </w:rPr>
        <w:t>omunità e territori</w:t>
      </w:r>
      <w:r w:rsidR="00A1722B" w:rsidRPr="005B46B9">
        <w:rPr>
          <w:rFonts w:ascii="Tahoma" w:hAnsi="Tahoma" w:cs="Tahoma"/>
          <w:sz w:val="20"/>
          <w:szCs w:val="20"/>
        </w:rPr>
        <w:t xml:space="preserve">: </w:t>
      </w:r>
      <w:r w:rsidR="00D67180" w:rsidRPr="005B46B9">
        <w:rPr>
          <w:rFonts w:ascii="Tahoma" w:hAnsi="Tahoma" w:cs="Tahoma"/>
          <w:sz w:val="20"/>
          <w:szCs w:val="20"/>
        </w:rPr>
        <w:t>sport</w:t>
      </w:r>
      <w:r w:rsidR="00E428BA" w:rsidRPr="005B46B9">
        <w:rPr>
          <w:rFonts w:ascii="Tahoma" w:hAnsi="Tahoma" w:cs="Tahoma"/>
          <w:sz w:val="20"/>
          <w:szCs w:val="20"/>
        </w:rPr>
        <w:t xml:space="preserve"> e giovani</w:t>
      </w:r>
      <w:r w:rsidR="00D67180" w:rsidRPr="005B46B9">
        <w:rPr>
          <w:rFonts w:ascii="Tahoma" w:hAnsi="Tahoma" w:cs="Tahoma"/>
          <w:sz w:val="20"/>
          <w:szCs w:val="20"/>
        </w:rPr>
        <w:t>, salute</w:t>
      </w:r>
      <w:r w:rsidR="00E428BA" w:rsidRPr="005B46B9">
        <w:rPr>
          <w:rFonts w:ascii="Tahoma" w:hAnsi="Tahoma" w:cs="Tahoma"/>
          <w:sz w:val="20"/>
          <w:szCs w:val="20"/>
        </w:rPr>
        <w:t xml:space="preserve"> e ricerca scientifica, lotta alle disuguaglianze e alla povertà</w:t>
      </w:r>
      <w:r w:rsidR="00C27F3B" w:rsidRPr="005B46B9">
        <w:rPr>
          <w:rFonts w:ascii="Tahoma" w:hAnsi="Tahoma" w:cs="Tahoma"/>
          <w:sz w:val="20"/>
          <w:szCs w:val="20"/>
        </w:rPr>
        <w:t xml:space="preserve"> </w:t>
      </w:r>
      <w:r w:rsidR="00A1722B" w:rsidRPr="005B46B9">
        <w:rPr>
          <w:rFonts w:ascii="Tahoma" w:hAnsi="Tahoma" w:cs="Tahoma"/>
          <w:sz w:val="20"/>
          <w:szCs w:val="20"/>
        </w:rPr>
        <w:t xml:space="preserve">sono stati individuati </w:t>
      </w:r>
      <w:r w:rsidR="00D67180" w:rsidRPr="005B46B9">
        <w:rPr>
          <w:rFonts w:ascii="Tahoma" w:hAnsi="Tahoma" w:cs="Tahoma"/>
          <w:sz w:val="20"/>
          <w:szCs w:val="20"/>
        </w:rPr>
        <w:t>come ambiti di attenzione e priorità</w:t>
      </w:r>
      <w:r w:rsidR="00AD5B9F" w:rsidRPr="005B46B9">
        <w:rPr>
          <w:rFonts w:ascii="Tahoma" w:hAnsi="Tahoma" w:cs="Tahoma"/>
          <w:sz w:val="20"/>
          <w:szCs w:val="20"/>
        </w:rPr>
        <w:t xml:space="preserve">, con il sostegno a diversi progetti </w:t>
      </w:r>
      <w:r w:rsidR="00E428BA" w:rsidRPr="005B46B9">
        <w:rPr>
          <w:rFonts w:ascii="Tahoma" w:hAnsi="Tahoma" w:cs="Tahoma"/>
          <w:sz w:val="20"/>
          <w:szCs w:val="20"/>
        </w:rPr>
        <w:t>per un totale di circa 285 mila euro.</w:t>
      </w:r>
      <w:r w:rsidR="00E428BA" w:rsidRPr="005B46B9">
        <w:rPr>
          <w:rFonts w:asciiTheme="majorHAnsi" w:hAnsiTheme="majorHAnsi" w:cstheme="majorHAnsi"/>
          <w:sz w:val="20"/>
          <w:szCs w:val="20"/>
        </w:rPr>
        <w:t xml:space="preserve"> </w:t>
      </w:r>
      <w:r w:rsidR="00594FBC" w:rsidRPr="005B46B9">
        <w:rPr>
          <w:rFonts w:ascii="Tahoma" w:hAnsi="Tahoma" w:cs="Tahoma"/>
          <w:sz w:val="20"/>
          <w:szCs w:val="20"/>
        </w:rPr>
        <w:t>Sono stat</w:t>
      </w:r>
      <w:r w:rsidR="00E428BA" w:rsidRPr="005B46B9">
        <w:rPr>
          <w:rFonts w:ascii="Tahoma" w:hAnsi="Tahoma" w:cs="Tahoma"/>
          <w:sz w:val="20"/>
          <w:szCs w:val="20"/>
        </w:rPr>
        <w:t>e</w:t>
      </w:r>
      <w:r w:rsidR="00594FBC" w:rsidRPr="005B46B9">
        <w:rPr>
          <w:rFonts w:ascii="Tahoma" w:hAnsi="Tahoma" w:cs="Tahoma"/>
          <w:sz w:val="20"/>
          <w:szCs w:val="20"/>
        </w:rPr>
        <w:t xml:space="preserve"> </w:t>
      </w:r>
      <w:r w:rsidR="00E861E4" w:rsidRPr="005B46B9">
        <w:rPr>
          <w:rFonts w:ascii="Tahoma" w:hAnsi="Tahoma" w:cs="Tahoma"/>
          <w:sz w:val="20"/>
          <w:szCs w:val="20"/>
        </w:rPr>
        <w:t xml:space="preserve">inoltre </w:t>
      </w:r>
      <w:r w:rsidR="00594FBC" w:rsidRPr="005B46B9">
        <w:rPr>
          <w:rFonts w:ascii="Tahoma" w:hAnsi="Tahoma" w:cs="Tahoma"/>
          <w:sz w:val="20"/>
          <w:szCs w:val="20"/>
        </w:rPr>
        <w:t>d</w:t>
      </w:r>
      <w:r w:rsidR="00D67180" w:rsidRPr="005B46B9">
        <w:rPr>
          <w:rFonts w:ascii="Tahoma" w:hAnsi="Tahoma" w:cs="Tahoma"/>
          <w:sz w:val="20"/>
          <w:szCs w:val="20"/>
        </w:rPr>
        <w:t>onat</w:t>
      </w:r>
      <w:r w:rsidR="00E428BA" w:rsidRPr="005B46B9">
        <w:rPr>
          <w:rFonts w:ascii="Tahoma" w:hAnsi="Tahoma" w:cs="Tahoma"/>
          <w:sz w:val="20"/>
          <w:szCs w:val="20"/>
        </w:rPr>
        <w:t>e</w:t>
      </w:r>
      <w:r w:rsidR="00594FBC" w:rsidRPr="005B46B9">
        <w:rPr>
          <w:rFonts w:ascii="Tahoma" w:hAnsi="Tahoma" w:cs="Tahoma"/>
          <w:sz w:val="20"/>
          <w:szCs w:val="20"/>
        </w:rPr>
        <w:t xml:space="preserve"> </w:t>
      </w:r>
      <w:r w:rsidR="00E428BA" w:rsidRPr="005B46B9">
        <w:rPr>
          <w:rFonts w:ascii="Tahoma" w:hAnsi="Tahoma" w:cs="Tahoma"/>
          <w:sz w:val="20"/>
          <w:szCs w:val="20"/>
        </w:rPr>
        <w:t>5,1 tonnellate di prodotti</w:t>
      </w:r>
      <w:r w:rsidR="00EE7BCC" w:rsidRPr="005B46B9">
        <w:rPr>
          <w:rFonts w:ascii="Tahoma" w:hAnsi="Tahoma" w:cs="Tahoma"/>
          <w:sz w:val="20"/>
          <w:szCs w:val="20"/>
        </w:rPr>
        <w:t xml:space="preserve"> a </w:t>
      </w:r>
      <w:r w:rsidR="00E428BA" w:rsidRPr="005B46B9">
        <w:rPr>
          <w:rFonts w:ascii="Tahoma" w:hAnsi="Tahoma" w:cs="Tahoma"/>
          <w:sz w:val="20"/>
          <w:szCs w:val="20"/>
        </w:rPr>
        <w:t>75 organizzazioni locali, che vanno a sommarsi alle 324 tonnellate donat</w:t>
      </w:r>
      <w:r w:rsidR="00902C39">
        <w:rPr>
          <w:rFonts w:ascii="Tahoma" w:hAnsi="Tahoma" w:cs="Tahoma"/>
          <w:sz w:val="20"/>
          <w:szCs w:val="20"/>
        </w:rPr>
        <w:t>e</w:t>
      </w:r>
      <w:r w:rsidR="00E428BA" w:rsidRPr="005B46B9">
        <w:rPr>
          <w:rFonts w:ascii="Tahoma" w:hAnsi="Tahoma" w:cs="Tahoma"/>
          <w:sz w:val="20"/>
          <w:szCs w:val="20"/>
        </w:rPr>
        <w:t xml:space="preserve"> </w:t>
      </w:r>
      <w:r w:rsidR="0064254C" w:rsidRPr="005B46B9">
        <w:rPr>
          <w:rFonts w:ascii="Tahoma" w:hAnsi="Tahoma" w:cs="Tahoma"/>
          <w:sz w:val="20"/>
          <w:szCs w:val="20"/>
        </w:rPr>
        <w:t xml:space="preserve">a scopo benefico </w:t>
      </w:r>
      <w:r w:rsidR="00E428BA" w:rsidRPr="005B46B9">
        <w:rPr>
          <w:rFonts w:ascii="Tahoma" w:hAnsi="Tahoma" w:cs="Tahoma"/>
          <w:sz w:val="20"/>
          <w:szCs w:val="20"/>
        </w:rPr>
        <w:t>a</w:t>
      </w:r>
      <w:r w:rsidR="00D8721D" w:rsidRPr="005B46B9">
        <w:rPr>
          <w:rFonts w:ascii="Tahoma" w:hAnsi="Tahoma" w:cs="Tahoma"/>
          <w:sz w:val="20"/>
          <w:szCs w:val="20"/>
        </w:rPr>
        <w:t xml:space="preserve"> Banco Alimentare</w:t>
      </w:r>
      <w:r w:rsidR="0064254C" w:rsidRPr="005B46B9">
        <w:rPr>
          <w:rFonts w:ascii="Tahoma" w:hAnsi="Tahoma" w:cs="Tahoma"/>
          <w:sz w:val="20"/>
          <w:szCs w:val="20"/>
        </w:rPr>
        <w:t>, empori e mense solidali</w:t>
      </w:r>
      <w:r w:rsidR="00A92E58">
        <w:rPr>
          <w:rFonts w:ascii="Tahoma" w:hAnsi="Tahoma" w:cs="Tahoma"/>
          <w:sz w:val="20"/>
          <w:szCs w:val="20"/>
        </w:rPr>
        <w:t>, pari a</w:t>
      </w:r>
      <w:r w:rsidR="00A92E58" w:rsidRPr="00210278">
        <w:rPr>
          <w:rFonts w:ascii="Tahoma" w:hAnsi="Tahoma" w:cs="Tahoma"/>
          <w:color w:val="EE0000"/>
        </w:rPr>
        <w:t xml:space="preserve"> </w:t>
      </w:r>
      <w:r w:rsidR="00A92E58" w:rsidRPr="00210278">
        <w:rPr>
          <w:rFonts w:ascii="Tahoma" w:hAnsi="Tahoma" w:cs="Tahoma"/>
          <w:sz w:val="20"/>
          <w:szCs w:val="20"/>
        </w:rPr>
        <w:t>quasi 2,2 milioni di € in prodotti</w:t>
      </w:r>
      <w:r w:rsidR="00B74A0E">
        <w:rPr>
          <w:rFonts w:ascii="Tahoma" w:hAnsi="Tahoma" w:cs="Tahoma"/>
          <w:sz w:val="20"/>
          <w:szCs w:val="20"/>
        </w:rPr>
        <w:t xml:space="preserve"> (+57%)</w:t>
      </w:r>
      <w:r w:rsidR="00A92E58" w:rsidRPr="00210278">
        <w:rPr>
          <w:rFonts w:ascii="Tahoma" w:hAnsi="Tahoma" w:cs="Tahoma"/>
          <w:sz w:val="20"/>
          <w:szCs w:val="20"/>
        </w:rPr>
        <w:t>, per oltre 648.000 pasti equivalenti</w:t>
      </w:r>
      <w:r w:rsidR="00E428BA" w:rsidRPr="005B46B9">
        <w:rPr>
          <w:rFonts w:ascii="Tahoma" w:hAnsi="Tahoma" w:cs="Tahoma"/>
          <w:sz w:val="20"/>
          <w:szCs w:val="20"/>
        </w:rPr>
        <w:t xml:space="preserve">. </w:t>
      </w:r>
      <w:r w:rsidR="000101EA">
        <w:rPr>
          <w:rFonts w:ascii="Tahoma" w:hAnsi="Tahoma" w:cs="Tahoma"/>
          <w:sz w:val="20"/>
          <w:szCs w:val="20"/>
        </w:rPr>
        <w:t>G</w:t>
      </w:r>
      <w:r w:rsidR="0033252F" w:rsidRPr="005B46B9">
        <w:rPr>
          <w:rFonts w:ascii="Tahoma" w:hAnsi="Tahoma" w:cs="Tahoma"/>
          <w:sz w:val="20"/>
          <w:szCs w:val="20"/>
        </w:rPr>
        <w:t xml:space="preserve">razie </w:t>
      </w:r>
      <w:r w:rsidR="00065C90" w:rsidRPr="005B46B9">
        <w:rPr>
          <w:rFonts w:ascii="Tahoma" w:hAnsi="Tahoma" w:cs="Tahoma"/>
          <w:sz w:val="20"/>
          <w:szCs w:val="20"/>
        </w:rPr>
        <w:t>ad un</w:t>
      </w:r>
      <w:r w:rsidR="0033252F" w:rsidRPr="005B46B9">
        <w:rPr>
          <w:rFonts w:ascii="Tahoma" w:hAnsi="Tahoma" w:cs="Tahoma"/>
          <w:sz w:val="20"/>
          <w:szCs w:val="20"/>
        </w:rPr>
        <w:t xml:space="preserve"> </w:t>
      </w:r>
      <w:r w:rsidR="0033252F" w:rsidRPr="00374AA3">
        <w:rPr>
          <w:rFonts w:ascii="Tahoma" w:hAnsi="Tahoma" w:cs="Tahoma"/>
          <w:sz w:val="20"/>
          <w:szCs w:val="20"/>
        </w:rPr>
        <w:t xml:space="preserve">progetto di internalizzazione </w:t>
      </w:r>
      <w:r w:rsidR="0033252F" w:rsidRPr="00902C39">
        <w:rPr>
          <w:rFonts w:ascii="Tahoma" w:hAnsi="Tahoma" w:cs="Tahoma"/>
          <w:sz w:val="20"/>
          <w:szCs w:val="20"/>
        </w:rPr>
        <w:t xml:space="preserve">è nata </w:t>
      </w:r>
      <w:r w:rsidR="0033252F" w:rsidRPr="00943636">
        <w:rPr>
          <w:rFonts w:ascii="Tahoma" w:hAnsi="Tahoma" w:cs="Tahoma"/>
          <w:b/>
          <w:bCs/>
          <w:sz w:val="20"/>
          <w:szCs w:val="20"/>
        </w:rPr>
        <w:t>Logistica GranTerre</w:t>
      </w:r>
      <w:r w:rsidR="00C33484" w:rsidRPr="005B46B9">
        <w:rPr>
          <w:rFonts w:ascii="Tahoma" w:hAnsi="Tahoma" w:cs="Tahoma"/>
          <w:sz w:val="20"/>
          <w:szCs w:val="20"/>
        </w:rPr>
        <w:t xml:space="preserve">, </w:t>
      </w:r>
      <w:r w:rsidR="00E97BBC">
        <w:rPr>
          <w:rFonts w:ascii="Tahoma" w:hAnsi="Tahoma" w:cs="Tahoma"/>
          <w:sz w:val="20"/>
          <w:szCs w:val="20"/>
        </w:rPr>
        <w:t>per</w:t>
      </w:r>
      <w:r w:rsidR="00C33484" w:rsidRPr="005B46B9">
        <w:rPr>
          <w:rFonts w:ascii="Tahoma" w:hAnsi="Tahoma" w:cs="Tahoma"/>
          <w:sz w:val="20"/>
          <w:szCs w:val="20"/>
        </w:rPr>
        <w:t xml:space="preserve"> la gestione dei servizi di stoccaggio e movimentazione dei prodotti</w:t>
      </w:r>
      <w:r w:rsidR="0033252F" w:rsidRPr="005B46B9">
        <w:rPr>
          <w:rFonts w:ascii="Tahoma" w:hAnsi="Tahoma" w:cs="Tahoma"/>
          <w:sz w:val="20"/>
          <w:szCs w:val="20"/>
        </w:rPr>
        <w:t xml:space="preserve"> </w:t>
      </w:r>
      <w:r w:rsidR="00C33484" w:rsidRPr="005B46B9">
        <w:rPr>
          <w:rFonts w:ascii="Tahoma" w:hAnsi="Tahoma" w:cs="Tahoma"/>
          <w:sz w:val="20"/>
          <w:szCs w:val="20"/>
        </w:rPr>
        <w:t>a favore delle società del Gruppo</w:t>
      </w:r>
      <w:r w:rsidR="00E97BBC">
        <w:rPr>
          <w:rFonts w:ascii="Tahoma" w:hAnsi="Tahoma" w:cs="Tahoma"/>
          <w:sz w:val="20"/>
          <w:szCs w:val="20"/>
        </w:rPr>
        <w:t>, con l’</w:t>
      </w:r>
      <w:r w:rsidR="007817CE" w:rsidRPr="00374AA3">
        <w:rPr>
          <w:rFonts w:ascii="Tahoma" w:hAnsi="Tahoma" w:cs="Tahoma"/>
          <w:sz w:val="20"/>
          <w:szCs w:val="20"/>
        </w:rPr>
        <w:t>assun</w:t>
      </w:r>
      <w:r w:rsidR="00E97BBC">
        <w:rPr>
          <w:rFonts w:ascii="Tahoma" w:hAnsi="Tahoma" w:cs="Tahoma"/>
          <w:sz w:val="20"/>
          <w:szCs w:val="20"/>
        </w:rPr>
        <w:t>zione di</w:t>
      </w:r>
      <w:r w:rsidR="007817CE" w:rsidRPr="00374AA3">
        <w:rPr>
          <w:rFonts w:ascii="Tahoma" w:hAnsi="Tahoma" w:cs="Tahoma"/>
          <w:sz w:val="20"/>
          <w:szCs w:val="20"/>
        </w:rPr>
        <w:t xml:space="preserve"> </w:t>
      </w:r>
      <w:r w:rsidR="00B06ABA">
        <w:rPr>
          <w:rFonts w:ascii="Tahoma" w:hAnsi="Tahoma" w:cs="Tahoma"/>
          <w:sz w:val="20"/>
          <w:szCs w:val="20"/>
        </w:rPr>
        <w:t>circa</w:t>
      </w:r>
      <w:r w:rsidR="007817CE" w:rsidRPr="00374AA3">
        <w:rPr>
          <w:rFonts w:ascii="Tahoma" w:hAnsi="Tahoma" w:cs="Tahoma"/>
          <w:sz w:val="20"/>
          <w:szCs w:val="20"/>
        </w:rPr>
        <w:t xml:space="preserve"> 250 lavoratori</w:t>
      </w:r>
      <w:r w:rsidR="007817CE" w:rsidRPr="005B46B9">
        <w:rPr>
          <w:rFonts w:ascii="Tahoma" w:hAnsi="Tahoma" w:cs="Tahoma"/>
          <w:sz w:val="20"/>
          <w:szCs w:val="20"/>
        </w:rPr>
        <w:t xml:space="preserve"> precedentemente occupati in appalto</w:t>
      </w:r>
      <w:r w:rsidR="00B67C76" w:rsidRPr="005B46B9">
        <w:rPr>
          <w:rFonts w:ascii="Tahoma" w:hAnsi="Tahoma" w:cs="Tahoma"/>
          <w:sz w:val="20"/>
          <w:szCs w:val="20"/>
        </w:rPr>
        <w:t>, portando a 2861</w:t>
      </w:r>
      <w:r w:rsidR="00A74E42" w:rsidRPr="005B46B9">
        <w:rPr>
          <w:rFonts w:ascii="Tahoma" w:hAnsi="Tahoma" w:cs="Tahoma"/>
          <w:sz w:val="20"/>
          <w:szCs w:val="20"/>
        </w:rPr>
        <w:t xml:space="preserve"> </w:t>
      </w:r>
      <w:r w:rsidR="00E12C5D">
        <w:rPr>
          <w:rFonts w:ascii="Tahoma" w:hAnsi="Tahoma" w:cs="Tahoma"/>
          <w:sz w:val="20"/>
          <w:szCs w:val="20"/>
        </w:rPr>
        <w:t>gli</w:t>
      </w:r>
      <w:r w:rsidR="00B67C76" w:rsidRPr="005B46B9">
        <w:rPr>
          <w:rFonts w:ascii="Tahoma" w:hAnsi="Tahoma" w:cs="Tahoma"/>
          <w:sz w:val="20"/>
          <w:szCs w:val="20"/>
        </w:rPr>
        <w:t xml:space="preserve"> occupati</w:t>
      </w:r>
      <w:r w:rsidR="00E12C5D">
        <w:rPr>
          <w:rFonts w:ascii="Tahoma" w:hAnsi="Tahoma" w:cs="Tahoma"/>
          <w:sz w:val="20"/>
          <w:szCs w:val="20"/>
        </w:rPr>
        <w:t xml:space="preserve"> d</w:t>
      </w:r>
      <w:r w:rsidR="00E97BBC">
        <w:rPr>
          <w:rFonts w:ascii="Tahoma" w:hAnsi="Tahoma" w:cs="Tahoma"/>
          <w:sz w:val="20"/>
          <w:szCs w:val="20"/>
        </w:rPr>
        <w:t>i</w:t>
      </w:r>
      <w:r w:rsidR="00E12C5D">
        <w:rPr>
          <w:rFonts w:ascii="Tahoma" w:hAnsi="Tahoma" w:cs="Tahoma"/>
          <w:sz w:val="20"/>
          <w:szCs w:val="20"/>
        </w:rPr>
        <w:t xml:space="preserve"> Gruppo</w:t>
      </w:r>
      <w:r w:rsidR="00A74E42" w:rsidRPr="005B46B9">
        <w:rPr>
          <w:rFonts w:ascii="Tahoma" w:hAnsi="Tahoma" w:cs="Tahoma"/>
          <w:sz w:val="20"/>
          <w:szCs w:val="20"/>
        </w:rPr>
        <w:t xml:space="preserve"> (+12,8%)</w:t>
      </w:r>
      <w:r w:rsidR="007817CE" w:rsidRPr="005B46B9">
        <w:rPr>
          <w:rFonts w:ascii="Tahoma" w:hAnsi="Tahoma" w:cs="Tahoma"/>
          <w:sz w:val="20"/>
          <w:szCs w:val="20"/>
        </w:rPr>
        <w:t xml:space="preserve">. </w:t>
      </w:r>
      <w:r w:rsidR="00E12C5D">
        <w:rPr>
          <w:rFonts w:ascii="Tahoma" w:hAnsi="Tahoma" w:cs="Tahoma"/>
          <w:sz w:val="20"/>
          <w:szCs w:val="20"/>
        </w:rPr>
        <w:t>Nel 2024</w:t>
      </w:r>
      <w:r w:rsidR="00F76A22" w:rsidRPr="005B46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73328" w:rsidRPr="005B46B9">
        <w:rPr>
          <w:rFonts w:ascii="Tahoma" w:hAnsi="Tahoma" w:cs="Tahoma"/>
          <w:sz w:val="20"/>
          <w:szCs w:val="20"/>
        </w:rPr>
        <w:t>di nuovo</w:t>
      </w:r>
      <w:r w:rsidR="00373328" w:rsidRPr="005B46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1121E" w:rsidRPr="005B46B9">
        <w:rPr>
          <w:rFonts w:ascii="Tahoma" w:hAnsi="Tahoma" w:cs="Tahoma"/>
          <w:sz w:val="20"/>
          <w:szCs w:val="20"/>
        </w:rPr>
        <w:t>significativo l’impegno sul fronte della formazione e della valorizzazione delle competenze</w:t>
      </w:r>
      <w:r w:rsidR="006F51B0" w:rsidRPr="005B46B9">
        <w:rPr>
          <w:rFonts w:ascii="Tahoma" w:hAnsi="Tahoma" w:cs="Tahoma"/>
          <w:sz w:val="20"/>
          <w:szCs w:val="20"/>
        </w:rPr>
        <w:t xml:space="preserve"> con </w:t>
      </w:r>
      <w:r w:rsidR="0091121E" w:rsidRPr="005B46B9">
        <w:rPr>
          <w:rFonts w:ascii="Tahoma" w:hAnsi="Tahoma" w:cs="Tahoma"/>
          <w:sz w:val="20"/>
          <w:szCs w:val="20"/>
        </w:rPr>
        <w:t xml:space="preserve">il </w:t>
      </w:r>
      <w:r w:rsidR="00211C4E" w:rsidRPr="00943636">
        <w:rPr>
          <w:rFonts w:ascii="Tahoma" w:hAnsi="Tahoma" w:cs="Tahoma"/>
          <w:sz w:val="20"/>
          <w:szCs w:val="20"/>
        </w:rPr>
        <w:t>2</w:t>
      </w:r>
      <w:r w:rsidR="00373328" w:rsidRPr="00943636">
        <w:rPr>
          <w:rFonts w:ascii="Tahoma" w:hAnsi="Tahoma" w:cs="Tahoma"/>
          <w:sz w:val="20"/>
          <w:szCs w:val="20"/>
        </w:rPr>
        <w:t>8</w:t>
      </w:r>
      <w:r w:rsidR="0091121E" w:rsidRPr="00943636">
        <w:rPr>
          <w:rFonts w:ascii="Tahoma" w:hAnsi="Tahoma" w:cs="Tahoma"/>
          <w:sz w:val="20"/>
          <w:szCs w:val="20"/>
        </w:rPr>
        <w:t xml:space="preserve">% in più </w:t>
      </w:r>
      <w:r w:rsidR="006F51B0" w:rsidRPr="00943636">
        <w:rPr>
          <w:rFonts w:ascii="Tahoma" w:hAnsi="Tahoma" w:cs="Tahoma"/>
          <w:sz w:val="20"/>
          <w:szCs w:val="20"/>
        </w:rPr>
        <w:t>di ore medie di formazione</w:t>
      </w:r>
      <w:r w:rsidR="006F51B0" w:rsidRPr="005B46B9">
        <w:rPr>
          <w:rFonts w:ascii="Tahoma" w:hAnsi="Tahoma" w:cs="Tahoma"/>
          <w:sz w:val="20"/>
          <w:szCs w:val="20"/>
        </w:rPr>
        <w:t xml:space="preserve"> </w:t>
      </w:r>
      <w:r w:rsidR="0091121E" w:rsidRPr="005B46B9">
        <w:rPr>
          <w:rFonts w:ascii="Tahoma" w:hAnsi="Tahoma" w:cs="Tahoma"/>
          <w:sz w:val="20"/>
          <w:szCs w:val="20"/>
        </w:rPr>
        <w:t>rispetto all’anno precedente. Sul fronte</w:t>
      </w:r>
      <w:r w:rsidR="00F76A22" w:rsidRPr="005B46B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76A22" w:rsidRPr="005B46B9">
        <w:rPr>
          <w:rFonts w:ascii="Tahoma" w:hAnsi="Tahoma" w:cs="Tahoma"/>
          <w:b/>
          <w:bCs/>
          <w:sz w:val="20"/>
          <w:szCs w:val="20"/>
        </w:rPr>
        <w:t>d</w:t>
      </w:r>
      <w:r w:rsidR="00D67180" w:rsidRPr="005B46B9">
        <w:rPr>
          <w:rFonts w:ascii="Tahoma" w:hAnsi="Tahoma" w:cs="Tahoma"/>
          <w:b/>
          <w:bCs/>
          <w:sz w:val="20"/>
          <w:szCs w:val="20"/>
        </w:rPr>
        <w:t>iversity</w:t>
      </w:r>
      <w:proofErr w:type="spellEnd"/>
      <w:r w:rsidR="00D67180" w:rsidRPr="005B46B9">
        <w:rPr>
          <w:rFonts w:ascii="Tahoma" w:hAnsi="Tahoma" w:cs="Tahoma"/>
          <w:b/>
          <w:bCs/>
          <w:sz w:val="20"/>
          <w:szCs w:val="20"/>
        </w:rPr>
        <w:t xml:space="preserve"> &amp; </w:t>
      </w:r>
      <w:proofErr w:type="spellStart"/>
      <w:r w:rsidR="00D67180" w:rsidRPr="005B46B9">
        <w:rPr>
          <w:rFonts w:ascii="Tahoma" w:hAnsi="Tahoma" w:cs="Tahoma"/>
          <w:b/>
          <w:bCs/>
          <w:sz w:val="20"/>
          <w:szCs w:val="20"/>
        </w:rPr>
        <w:t>inclusion</w:t>
      </w:r>
      <w:proofErr w:type="spellEnd"/>
      <w:r w:rsidR="00F76A22" w:rsidRPr="005B46B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11095" w:rsidRPr="005B46B9">
        <w:rPr>
          <w:rFonts w:ascii="Tahoma" w:hAnsi="Tahoma" w:cs="Tahoma"/>
          <w:sz w:val="20"/>
          <w:szCs w:val="20"/>
        </w:rPr>
        <w:t>significativ</w:t>
      </w:r>
      <w:r w:rsidR="000765EB" w:rsidRPr="005B46B9">
        <w:rPr>
          <w:rFonts w:ascii="Tahoma" w:hAnsi="Tahoma" w:cs="Tahoma"/>
          <w:sz w:val="20"/>
          <w:szCs w:val="20"/>
        </w:rPr>
        <w:t xml:space="preserve">o </w:t>
      </w:r>
      <w:r w:rsidR="00511095" w:rsidRPr="005B46B9">
        <w:rPr>
          <w:rFonts w:ascii="Tahoma" w:hAnsi="Tahoma" w:cs="Tahoma"/>
          <w:sz w:val="20"/>
          <w:szCs w:val="20"/>
        </w:rPr>
        <w:t>è</w:t>
      </w:r>
      <w:r w:rsidR="00D67180" w:rsidRPr="005B46B9">
        <w:rPr>
          <w:rFonts w:ascii="Tahoma" w:hAnsi="Tahoma" w:cs="Tahoma"/>
          <w:sz w:val="20"/>
          <w:szCs w:val="20"/>
        </w:rPr>
        <w:t xml:space="preserve"> </w:t>
      </w:r>
      <w:r w:rsidR="00601CBC" w:rsidRPr="005B46B9">
        <w:rPr>
          <w:rFonts w:ascii="Tahoma" w:hAnsi="Tahoma" w:cs="Tahoma"/>
          <w:sz w:val="20"/>
          <w:szCs w:val="20"/>
        </w:rPr>
        <w:t>l’ulteriore</w:t>
      </w:r>
      <w:r w:rsidR="000765EB" w:rsidRPr="005B46B9">
        <w:rPr>
          <w:rFonts w:ascii="Tahoma" w:hAnsi="Tahoma" w:cs="Tahoma"/>
          <w:sz w:val="20"/>
          <w:szCs w:val="20"/>
        </w:rPr>
        <w:t xml:space="preserve"> rafforzamento</w:t>
      </w:r>
      <w:r w:rsidR="00D67180" w:rsidRPr="005B46B9">
        <w:rPr>
          <w:rFonts w:ascii="Tahoma" w:hAnsi="Tahoma" w:cs="Tahoma"/>
          <w:sz w:val="20"/>
          <w:szCs w:val="20"/>
        </w:rPr>
        <w:t xml:space="preserve"> </w:t>
      </w:r>
      <w:r w:rsidR="000765EB" w:rsidRPr="005B46B9">
        <w:rPr>
          <w:rFonts w:ascii="Tahoma" w:hAnsi="Tahoma" w:cs="Tahoma"/>
          <w:sz w:val="20"/>
          <w:szCs w:val="20"/>
        </w:rPr>
        <w:t xml:space="preserve">del progetto </w:t>
      </w:r>
      <w:r w:rsidR="00D67180" w:rsidRPr="005B46B9">
        <w:rPr>
          <w:rFonts w:ascii="Tahoma" w:hAnsi="Tahoma" w:cs="Tahoma"/>
          <w:sz w:val="20"/>
          <w:szCs w:val="20"/>
        </w:rPr>
        <w:t xml:space="preserve">sportelli </w:t>
      </w:r>
      <w:r w:rsidR="00511095" w:rsidRPr="005B46B9">
        <w:rPr>
          <w:rFonts w:ascii="Tahoma" w:hAnsi="Tahoma" w:cs="Tahoma"/>
          <w:sz w:val="20"/>
          <w:szCs w:val="20"/>
        </w:rPr>
        <w:t>anti-molestie per i dipendenti</w:t>
      </w:r>
      <w:r w:rsidR="00601CBC" w:rsidRPr="005B46B9">
        <w:rPr>
          <w:rFonts w:ascii="Tahoma" w:hAnsi="Tahoma" w:cs="Tahoma"/>
          <w:sz w:val="20"/>
          <w:szCs w:val="20"/>
        </w:rPr>
        <w:t xml:space="preserve"> negli stabilimenti</w:t>
      </w:r>
      <w:r w:rsidR="000B53D2" w:rsidRPr="005B46B9">
        <w:rPr>
          <w:rFonts w:ascii="Tahoma" w:hAnsi="Tahoma" w:cs="Tahoma"/>
          <w:sz w:val="20"/>
          <w:szCs w:val="20"/>
        </w:rPr>
        <w:t>,</w:t>
      </w:r>
      <w:r w:rsidR="00D67180" w:rsidRPr="005B46B9">
        <w:rPr>
          <w:rFonts w:ascii="Tahoma" w:hAnsi="Tahoma" w:cs="Tahoma"/>
          <w:sz w:val="20"/>
          <w:szCs w:val="20"/>
        </w:rPr>
        <w:t xml:space="preserve"> in </w:t>
      </w:r>
      <w:r w:rsidR="00AD5B9F" w:rsidRPr="005B46B9">
        <w:rPr>
          <w:rFonts w:ascii="Tahoma" w:hAnsi="Tahoma" w:cs="Tahoma"/>
          <w:sz w:val="20"/>
          <w:szCs w:val="20"/>
        </w:rPr>
        <w:t>partnership</w:t>
      </w:r>
      <w:r w:rsidR="00D67180" w:rsidRPr="005B46B9">
        <w:rPr>
          <w:rFonts w:ascii="Tahoma" w:hAnsi="Tahoma" w:cs="Tahoma"/>
          <w:sz w:val="20"/>
          <w:szCs w:val="20"/>
        </w:rPr>
        <w:t xml:space="preserve"> con organizzazioni sindacali e associazioni specializzate.</w:t>
      </w:r>
      <w:r w:rsidR="00E168FA" w:rsidRPr="005B46B9">
        <w:rPr>
          <w:rFonts w:ascii="Tahoma" w:hAnsi="Tahoma" w:cs="Tahoma"/>
          <w:sz w:val="20"/>
          <w:szCs w:val="20"/>
        </w:rPr>
        <w:t xml:space="preserve"> </w:t>
      </w:r>
      <w:r w:rsidR="003D2D5E" w:rsidRPr="005B46B9">
        <w:rPr>
          <w:rFonts w:ascii="Tahoma" w:hAnsi="Tahoma" w:cs="Tahoma"/>
          <w:sz w:val="20"/>
          <w:szCs w:val="20"/>
        </w:rPr>
        <w:t xml:space="preserve">Per quel che riguarda </w:t>
      </w:r>
      <w:r w:rsidR="003D2D5E" w:rsidRPr="005B46B9">
        <w:rPr>
          <w:rFonts w:ascii="Tahoma" w:hAnsi="Tahoma" w:cs="Tahoma"/>
          <w:b/>
          <w:bCs/>
          <w:sz w:val="20"/>
          <w:szCs w:val="20"/>
        </w:rPr>
        <w:t>s</w:t>
      </w:r>
      <w:r w:rsidR="00D67180" w:rsidRPr="005B46B9">
        <w:rPr>
          <w:rFonts w:ascii="Tahoma" w:hAnsi="Tahoma" w:cs="Tahoma"/>
          <w:b/>
          <w:bCs/>
          <w:sz w:val="20"/>
          <w:szCs w:val="20"/>
        </w:rPr>
        <w:t>alute e sicurezza</w:t>
      </w:r>
      <w:r w:rsidR="00601CBC" w:rsidRPr="005B46B9">
        <w:rPr>
          <w:rFonts w:ascii="Tahoma" w:hAnsi="Tahoma" w:cs="Tahoma"/>
          <w:sz w:val="20"/>
          <w:szCs w:val="20"/>
        </w:rPr>
        <w:t>,</w:t>
      </w:r>
      <w:r w:rsidR="00AC2B96" w:rsidRPr="005B46B9">
        <w:rPr>
          <w:rFonts w:ascii="Tahoma" w:hAnsi="Tahoma" w:cs="Tahoma"/>
          <w:sz w:val="20"/>
          <w:szCs w:val="20"/>
        </w:rPr>
        <w:t xml:space="preserve"> </w:t>
      </w:r>
      <w:r w:rsidR="00601CBC" w:rsidRPr="005B46B9">
        <w:rPr>
          <w:rFonts w:ascii="Tahoma" w:hAnsi="Tahoma" w:cs="Tahoma"/>
          <w:sz w:val="20"/>
          <w:szCs w:val="20"/>
        </w:rPr>
        <w:t>anche grazie all’</w:t>
      </w:r>
      <w:r w:rsidR="00AC2B96" w:rsidRPr="005B46B9">
        <w:rPr>
          <w:rFonts w:ascii="Tahoma" w:hAnsi="Tahoma" w:cs="Tahoma"/>
          <w:sz w:val="20"/>
          <w:szCs w:val="20"/>
        </w:rPr>
        <w:t>este</w:t>
      </w:r>
      <w:r w:rsidR="00601CBC" w:rsidRPr="005B46B9">
        <w:rPr>
          <w:rFonts w:ascii="Tahoma" w:hAnsi="Tahoma" w:cs="Tahoma"/>
          <w:sz w:val="20"/>
          <w:szCs w:val="20"/>
        </w:rPr>
        <w:t>nsione</w:t>
      </w:r>
      <w:r w:rsidR="00AC2B96" w:rsidRPr="005B46B9">
        <w:rPr>
          <w:rFonts w:ascii="Tahoma" w:hAnsi="Tahoma" w:cs="Tahoma"/>
          <w:sz w:val="20"/>
          <w:szCs w:val="20"/>
        </w:rPr>
        <w:t xml:space="preserve"> </w:t>
      </w:r>
      <w:r w:rsidR="00601CBC" w:rsidRPr="005B46B9">
        <w:rPr>
          <w:rFonts w:ascii="Tahoma" w:hAnsi="Tahoma" w:cs="Tahoma"/>
          <w:sz w:val="20"/>
          <w:szCs w:val="20"/>
        </w:rPr>
        <w:t>del</w:t>
      </w:r>
      <w:r w:rsidR="00AC2B96" w:rsidRPr="005B46B9">
        <w:rPr>
          <w:rFonts w:ascii="Tahoma" w:hAnsi="Tahoma" w:cs="Tahoma"/>
          <w:sz w:val="20"/>
          <w:szCs w:val="20"/>
        </w:rPr>
        <w:t>la certificazione ISO 45001 a tutte le sedi del Gruppo</w:t>
      </w:r>
      <w:r w:rsidR="00601CBC" w:rsidRPr="005B46B9">
        <w:rPr>
          <w:rFonts w:ascii="Tahoma" w:hAnsi="Tahoma" w:cs="Tahoma"/>
          <w:sz w:val="20"/>
          <w:szCs w:val="20"/>
        </w:rPr>
        <w:t>, l’indice di frequenza degli infortuni, comunque non gravi, si è ulteriormente ridotto (-14%)</w:t>
      </w:r>
      <w:r w:rsidR="00C941E9" w:rsidRPr="005B46B9">
        <w:rPr>
          <w:rFonts w:ascii="Tahoma" w:hAnsi="Tahoma" w:cs="Tahoma"/>
          <w:sz w:val="20"/>
          <w:szCs w:val="20"/>
        </w:rPr>
        <w:t>.</w:t>
      </w:r>
    </w:p>
    <w:p w14:paraId="3ED086AD" w14:textId="7032721F" w:rsidR="00873C61" w:rsidRPr="005B46B9" w:rsidRDefault="008F48AF" w:rsidP="00873C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6B9">
        <w:rPr>
          <w:rFonts w:ascii="Tahoma" w:hAnsi="Tahoma" w:cs="Tahoma"/>
          <w:sz w:val="20"/>
          <w:szCs w:val="20"/>
        </w:rPr>
        <w:t xml:space="preserve">La </w:t>
      </w:r>
      <w:r w:rsidRPr="005B46B9">
        <w:rPr>
          <w:rFonts w:ascii="Tahoma" w:hAnsi="Tahoma" w:cs="Tahoma"/>
          <w:b/>
          <w:bCs/>
          <w:sz w:val="20"/>
          <w:szCs w:val="20"/>
        </w:rPr>
        <w:t>filiera cooperativa lattiero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Pr="005B46B9">
        <w:rPr>
          <w:rFonts w:ascii="Tahoma" w:hAnsi="Tahoma" w:cs="Tahoma"/>
          <w:b/>
          <w:bCs/>
          <w:sz w:val="20"/>
          <w:szCs w:val="20"/>
        </w:rPr>
        <w:t>casearia</w:t>
      </w:r>
      <w:r w:rsidRPr="005B46B9">
        <w:rPr>
          <w:rFonts w:ascii="Tahoma" w:hAnsi="Tahoma" w:cs="Tahoma"/>
          <w:sz w:val="20"/>
          <w:szCs w:val="20"/>
        </w:rPr>
        <w:t xml:space="preserve"> </w:t>
      </w:r>
      <w:r w:rsidRPr="00637C4E">
        <w:rPr>
          <w:rFonts w:ascii="Tahoma" w:hAnsi="Tahoma" w:cs="Tahoma"/>
          <w:b/>
          <w:bCs/>
          <w:sz w:val="20"/>
          <w:szCs w:val="20"/>
        </w:rPr>
        <w:t>GranTerre</w:t>
      </w:r>
      <w:r w:rsidRPr="005B46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ha </w:t>
      </w:r>
      <w:r w:rsidRPr="005B46B9">
        <w:rPr>
          <w:rFonts w:ascii="Tahoma" w:hAnsi="Tahoma" w:cs="Tahoma"/>
          <w:sz w:val="20"/>
          <w:szCs w:val="20"/>
        </w:rPr>
        <w:t>supera</w:t>
      </w:r>
      <w:r>
        <w:rPr>
          <w:rFonts w:ascii="Tahoma" w:hAnsi="Tahoma" w:cs="Tahoma"/>
          <w:sz w:val="20"/>
          <w:szCs w:val="20"/>
        </w:rPr>
        <w:t>to</w:t>
      </w:r>
      <w:r w:rsidRPr="005B46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nel 2024 </w:t>
      </w:r>
      <w:r w:rsidRPr="005B46B9">
        <w:rPr>
          <w:rFonts w:ascii="Tahoma" w:hAnsi="Tahoma" w:cs="Tahoma"/>
          <w:sz w:val="20"/>
          <w:szCs w:val="20"/>
        </w:rPr>
        <w:t xml:space="preserve">quota </w:t>
      </w:r>
      <w:r w:rsidRPr="00637C4E">
        <w:rPr>
          <w:rFonts w:ascii="Tahoma" w:hAnsi="Tahoma" w:cs="Tahoma"/>
          <w:sz w:val="20"/>
          <w:szCs w:val="20"/>
        </w:rPr>
        <w:t>2000 aziende agricole</w:t>
      </w:r>
      <w:r w:rsidRPr="005B46B9">
        <w:rPr>
          <w:rFonts w:ascii="Tahoma" w:hAnsi="Tahoma" w:cs="Tahoma"/>
          <w:sz w:val="20"/>
          <w:szCs w:val="20"/>
        </w:rPr>
        <w:t>, grazie all’ingresso di CAO Formaggi, specializzata nella produzione di Pecorino</w:t>
      </w:r>
      <w:r>
        <w:rPr>
          <w:rFonts w:ascii="Tahoma" w:hAnsi="Tahoma" w:cs="Tahoma"/>
          <w:sz w:val="20"/>
          <w:szCs w:val="20"/>
        </w:rPr>
        <w:t xml:space="preserve"> </w:t>
      </w:r>
      <w:r w:rsidRPr="005B46B9">
        <w:rPr>
          <w:rFonts w:ascii="Tahoma" w:hAnsi="Tahoma" w:cs="Tahoma"/>
          <w:sz w:val="20"/>
          <w:szCs w:val="20"/>
        </w:rPr>
        <w:t xml:space="preserve">DOP. </w:t>
      </w:r>
      <w:r w:rsidR="00873C61" w:rsidRPr="005B46B9">
        <w:rPr>
          <w:rFonts w:ascii="Tahoma" w:hAnsi="Tahoma" w:cs="Tahoma"/>
          <w:sz w:val="20"/>
          <w:szCs w:val="20"/>
        </w:rPr>
        <w:t>Dal 2024 GranTerre</w:t>
      </w:r>
      <w:r w:rsidR="003F18FD">
        <w:rPr>
          <w:rFonts w:ascii="Tahoma" w:hAnsi="Tahoma" w:cs="Tahoma"/>
          <w:sz w:val="20"/>
          <w:szCs w:val="20"/>
        </w:rPr>
        <w:t>, nell’ambito delle molteplici collaborazioni con le Università,</w:t>
      </w:r>
      <w:r w:rsidR="00873C61" w:rsidRPr="005B46B9">
        <w:rPr>
          <w:rFonts w:ascii="Tahoma" w:hAnsi="Tahoma" w:cs="Tahoma"/>
          <w:sz w:val="20"/>
          <w:szCs w:val="20"/>
        </w:rPr>
        <w:t xml:space="preserve"> sostiene un </w:t>
      </w:r>
      <w:r w:rsidR="00873C61" w:rsidRPr="005B46B9">
        <w:rPr>
          <w:rFonts w:ascii="Tahoma" w:hAnsi="Tahoma" w:cs="Tahoma"/>
          <w:b/>
          <w:bCs/>
          <w:sz w:val="20"/>
          <w:szCs w:val="20"/>
        </w:rPr>
        <w:t xml:space="preserve">dottorato dell’Università di Modena e Reggio Emilia </w:t>
      </w:r>
      <w:r w:rsidR="00873C61" w:rsidRPr="005B46B9">
        <w:rPr>
          <w:rFonts w:ascii="Tahoma" w:hAnsi="Tahoma" w:cs="Tahoma"/>
          <w:sz w:val="20"/>
          <w:szCs w:val="20"/>
        </w:rPr>
        <w:t>per una ricerca finalizzata ad identificare punti di forza, ambiti di miglioramento e strategie di sviluppo per la riduzione dell’impatto ambientale</w:t>
      </w:r>
      <w:r w:rsidR="006B2921">
        <w:rPr>
          <w:rFonts w:ascii="Tahoma" w:hAnsi="Tahoma" w:cs="Tahoma"/>
          <w:sz w:val="20"/>
          <w:szCs w:val="20"/>
        </w:rPr>
        <w:t xml:space="preserve"> e</w:t>
      </w:r>
      <w:r w:rsidR="00873C61" w:rsidRPr="005B46B9">
        <w:rPr>
          <w:rFonts w:ascii="Tahoma" w:hAnsi="Tahoma" w:cs="Tahoma"/>
          <w:sz w:val="20"/>
          <w:szCs w:val="20"/>
        </w:rPr>
        <w:t xml:space="preserve"> l’accrescimento del valore generato sui territori </w:t>
      </w:r>
      <w:r>
        <w:rPr>
          <w:rFonts w:ascii="Tahoma" w:hAnsi="Tahoma" w:cs="Tahoma"/>
          <w:sz w:val="20"/>
          <w:szCs w:val="20"/>
        </w:rPr>
        <w:t xml:space="preserve">dalla </w:t>
      </w:r>
      <w:r w:rsidR="00873C61" w:rsidRPr="005B46B9">
        <w:rPr>
          <w:rFonts w:ascii="Tahoma" w:hAnsi="Tahoma" w:cs="Tahoma"/>
          <w:sz w:val="20"/>
          <w:szCs w:val="20"/>
        </w:rPr>
        <w:t>filiera</w:t>
      </w:r>
      <w:r w:rsidR="003F18FD">
        <w:rPr>
          <w:rFonts w:ascii="Tahoma" w:hAnsi="Tahoma" w:cs="Tahoma"/>
          <w:sz w:val="20"/>
          <w:szCs w:val="20"/>
        </w:rPr>
        <w:t>,</w:t>
      </w:r>
      <w:r w:rsidR="00873C61" w:rsidRPr="005B46B9">
        <w:rPr>
          <w:rFonts w:ascii="Tahoma" w:hAnsi="Tahoma" w:cs="Tahoma"/>
          <w:sz w:val="20"/>
          <w:szCs w:val="20"/>
        </w:rPr>
        <w:t xml:space="preserve"> così da renderla</w:t>
      </w:r>
      <w:r w:rsidR="00873C61">
        <w:rPr>
          <w:rFonts w:ascii="Tahoma" w:hAnsi="Tahoma" w:cs="Tahoma"/>
          <w:sz w:val="20"/>
          <w:szCs w:val="20"/>
        </w:rPr>
        <w:t xml:space="preserve"> </w:t>
      </w:r>
      <w:r w:rsidR="00873C61" w:rsidRPr="005B46B9">
        <w:rPr>
          <w:rFonts w:ascii="Tahoma" w:hAnsi="Tahoma" w:cs="Tahoma"/>
          <w:sz w:val="20"/>
          <w:szCs w:val="20"/>
        </w:rPr>
        <w:t>maggiormente resiliente.</w:t>
      </w:r>
    </w:p>
    <w:p w14:paraId="16C3A4DF" w14:textId="4E285AE3" w:rsidR="002F3FF8" w:rsidRPr="005B46B9" w:rsidRDefault="00C97AD9" w:rsidP="008F48A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6B9">
        <w:rPr>
          <w:rFonts w:ascii="Tahoma" w:hAnsi="Tahoma" w:cs="Tahoma"/>
          <w:sz w:val="20"/>
          <w:szCs w:val="20"/>
        </w:rPr>
        <w:t xml:space="preserve">Sul fronte </w:t>
      </w:r>
      <w:r w:rsidRPr="00374AA3">
        <w:rPr>
          <w:rFonts w:ascii="Tahoma" w:hAnsi="Tahoma" w:cs="Tahoma"/>
          <w:b/>
          <w:bCs/>
          <w:sz w:val="20"/>
          <w:szCs w:val="20"/>
        </w:rPr>
        <w:t>governance</w:t>
      </w:r>
      <w:r w:rsidRPr="005B46B9">
        <w:rPr>
          <w:rFonts w:ascii="Tahoma" w:hAnsi="Tahoma" w:cs="Tahoma"/>
          <w:sz w:val="20"/>
          <w:szCs w:val="20"/>
        </w:rPr>
        <w:t xml:space="preserve"> </w:t>
      </w:r>
      <w:r w:rsidR="00621E5E">
        <w:rPr>
          <w:rFonts w:ascii="Tahoma" w:hAnsi="Tahoma" w:cs="Tahoma"/>
          <w:sz w:val="20"/>
          <w:szCs w:val="20"/>
        </w:rPr>
        <w:t xml:space="preserve">è </w:t>
      </w:r>
      <w:r w:rsidRPr="005B46B9">
        <w:rPr>
          <w:rFonts w:ascii="Tahoma" w:hAnsi="Tahoma" w:cs="Tahoma"/>
          <w:sz w:val="20"/>
          <w:szCs w:val="20"/>
        </w:rPr>
        <w:t xml:space="preserve">confermato il </w:t>
      </w:r>
      <w:r w:rsidRPr="005B46B9">
        <w:rPr>
          <w:rFonts w:ascii="Tahoma" w:hAnsi="Tahoma" w:cs="Tahoma"/>
          <w:b/>
          <w:bCs/>
          <w:sz w:val="20"/>
          <w:szCs w:val="20"/>
        </w:rPr>
        <w:t>rating di legalità</w:t>
      </w:r>
      <w:r w:rsidRPr="005B46B9">
        <w:rPr>
          <w:rFonts w:ascii="Tahoma" w:hAnsi="Tahoma" w:cs="Tahoma"/>
          <w:sz w:val="20"/>
          <w:szCs w:val="20"/>
        </w:rPr>
        <w:t xml:space="preserve"> AGCM con il punteggio massimo</w:t>
      </w:r>
      <w:r w:rsidR="00532754" w:rsidRPr="005B46B9">
        <w:rPr>
          <w:rFonts w:ascii="Tahoma" w:hAnsi="Tahoma" w:cs="Tahoma"/>
          <w:sz w:val="20"/>
          <w:szCs w:val="20"/>
        </w:rPr>
        <w:t xml:space="preserve">. </w:t>
      </w:r>
    </w:p>
    <w:p w14:paraId="27833AF5" w14:textId="77777777" w:rsidR="00601CBC" w:rsidRPr="005B46B9" w:rsidRDefault="00601CBC" w:rsidP="009A4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166FCB" w14:textId="35343863" w:rsidR="00511095" w:rsidRPr="005B46B9" w:rsidRDefault="00B80F8E" w:rsidP="009A4C1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ahoma"/>
          <w:kern w:val="24"/>
          <w:sz w:val="20"/>
          <w:szCs w:val="20"/>
          <w:lang w:eastAsia="it-IT"/>
        </w:rPr>
      </w:pP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>“</w:t>
      </w:r>
      <w:r w:rsidR="005E7163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Le radici cooperative di GranTerre si riflettono nel modo di fare impresa e sono le fondamenta del percorso di integrazione strategica della sostenibilità del Gruppo, con l’impegno a tradurre valori e principi cooperativi in azioni concrete</w:t>
      </w:r>
      <w:r w:rsidR="009034CF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 </w:t>
      </w:r>
      <w:r w:rsidR="0041025E"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>–</w:t>
      </w: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 xml:space="preserve"> ha dichiarato </w:t>
      </w:r>
      <w:r w:rsidRPr="005B46B9">
        <w:rPr>
          <w:rFonts w:ascii="Tahoma" w:eastAsiaTheme="minorEastAsia" w:hAnsi="Tahoma" w:cs="Tahoma"/>
          <w:b/>
          <w:bCs/>
          <w:kern w:val="24"/>
          <w:sz w:val="20"/>
          <w:szCs w:val="20"/>
          <w:lang w:eastAsia="it-IT"/>
        </w:rPr>
        <w:t>Andrea Benini, Consigliere Delegato alla Sostenibilità di GranTerre</w:t>
      </w: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 xml:space="preserve"> –</w:t>
      </w:r>
      <w:r w:rsidR="0041025E"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>.</w:t>
      </w: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 xml:space="preserve"> </w:t>
      </w:r>
      <w:r w:rsidR="00E10D46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I nuovi</w:t>
      </w:r>
      <w:r w:rsidR="000D052B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 </w:t>
      </w:r>
      <w:r w:rsidR="000F6383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investimenti</w:t>
      </w:r>
      <w:r w:rsidR="00E10D46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 in efficienza energetica e fonti rinnovabili, l’innovazione nei processi produttivi, lo sviluppo di nuovi prodotti che rispondono alle esigenze di qualità delle materie prime e di sostenibilità del packaging, insieme al rafforzamento dei progetti rivolti al sociale sono tutti tasselli di </w:t>
      </w:r>
      <w:r w:rsidR="000D052B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un percorso</w:t>
      </w:r>
      <w:r w:rsidR="00E10D46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,</w:t>
      </w:r>
      <w:r w:rsidR="000D052B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 </w:t>
      </w:r>
      <w:r w:rsidR="004C2111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ancora </w:t>
      </w:r>
      <w:r w:rsidR="006F30AC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una volta </w:t>
      </w:r>
      <w:r w:rsidR="000D052B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positivo</w:t>
      </w:r>
      <w:r w:rsidR="009034CF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 xml:space="preserve">, </w:t>
      </w:r>
      <w:r w:rsidR="00E10D46" w:rsidRPr="005B46B9">
        <w:rPr>
          <w:rFonts w:ascii="Tahoma" w:eastAsiaTheme="minorEastAsia" w:hAnsi="Tahoma" w:cs="Tahoma"/>
          <w:i/>
          <w:iCs/>
          <w:kern w:val="24"/>
          <w:sz w:val="20"/>
          <w:szCs w:val="20"/>
          <w:lang w:eastAsia="it-IT"/>
        </w:rPr>
        <w:t>che viene da lontano e guarda al futuro</w:t>
      </w: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>”</w:t>
      </w:r>
      <w:r w:rsidR="0041025E"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>.</w:t>
      </w:r>
      <w:r w:rsidRPr="005B46B9">
        <w:rPr>
          <w:rFonts w:ascii="Tahoma" w:eastAsiaTheme="minorEastAsia" w:hAnsi="Tahoma" w:cs="Tahoma"/>
          <w:kern w:val="24"/>
          <w:sz w:val="20"/>
          <w:szCs w:val="20"/>
          <w:lang w:eastAsia="it-IT"/>
        </w:rPr>
        <w:t xml:space="preserve"> </w:t>
      </w:r>
    </w:p>
    <w:p w14:paraId="6043CF23" w14:textId="77777777" w:rsidR="00E10D46" w:rsidRPr="005B46B9" w:rsidRDefault="00E10D46" w:rsidP="009A4C1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C1106D8" w14:textId="6F5F6D42" w:rsidR="0036423B" w:rsidRPr="005B46B9" w:rsidRDefault="0036423B" w:rsidP="009A4C1E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B46B9">
        <w:rPr>
          <w:rFonts w:ascii="Tahoma" w:eastAsiaTheme="minorEastAsia" w:hAnsi="Tahoma" w:cs="Tahoma"/>
          <w:sz w:val="20"/>
          <w:szCs w:val="20"/>
        </w:rPr>
        <w:lastRenderedPageBreak/>
        <w:t xml:space="preserve">Il </w:t>
      </w:r>
      <w:r w:rsidRPr="005B46B9">
        <w:rPr>
          <w:rFonts w:ascii="Tahoma" w:eastAsiaTheme="minorEastAsia" w:hAnsi="Tahoma" w:cs="Tahoma"/>
          <w:kern w:val="24"/>
          <w:sz w:val="20"/>
          <w:szCs w:val="20"/>
        </w:rPr>
        <w:t>Bilancio di Sostenibilità 2024, di natura volontaria, è redatto secondo lo standard internazionale GRI 2021 e certificato dalla società Bureau Veritas Italia, che ha eseguito una “</w:t>
      </w:r>
      <w:r w:rsidRPr="005B46B9">
        <w:rPr>
          <w:rFonts w:ascii="Tahoma" w:eastAsiaTheme="minorEastAsia" w:hAnsi="Tahoma" w:cs="Tahoma"/>
          <w:i/>
          <w:iCs/>
          <w:kern w:val="24"/>
          <w:sz w:val="20"/>
          <w:szCs w:val="20"/>
        </w:rPr>
        <w:t>limited Assurance</w:t>
      </w:r>
      <w:r w:rsidRPr="005B46B9">
        <w:rPr>
          <w:rFonts w:ascii="Tahoma" w:eastAsiaTheme="minorEastAsia" w:hAnsi="Tahoma" w:cs="Tahoma"/>
          <w:kern w:val="24"/>
          <w:sz w:val="20"/>
          <w:szCs w:val="20"/>
        </w:rPr>
        <w:t xml:space="preserve">”. </w:t>
      </w:r>
    </w:p>
    <w:p w14:paraId="70CCA6D6" w14:textId="5DFCF9A1" w:rsidR="003D2D5E" w:rsidRPr="005B46B9" w:rsidRDefault="005F6386" w:rsidP="009A4C1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5B46B9">
        <w:rPr>
          <w:rFonts w:ascii="Tahoma" w:hAnsi="Tahoma" w:cs="Tahoma"/>
          <w:sz w:val="20"/>
          <w:szCs w:val="20"/>
        </w:rPr>
        <w:t>Il Bilancio è consultabile sul sito</w:t>
      </w:r>
      <w:r w:rsidR="00B43A71" w:rsidRPr="005B46B9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DB55D2" w:rsidRPr="005B46B9">
          <w:rPr>
            <w:rStyle w:val="Collegamentoipertestuale"/>
            <w:rFonts w:ascii="Tahoma" w:hAnsi="Tahoma" w:cs="Tahoma"/>
            <w:sz w:val="20"/>
            <w:szCs w:val="20"/>
          </w:rPr>
          <w:t>www.granterre.it</w:t>
        </w:r>
      </w:hyperlink>
      <w:r w:rsidR="000A00C8" w:rsidRPr="005B46B9">
        <w:rPr>
          <w:rFonts w:ascii="Tahoma" w:hAnsi="Tahoma" w:cs="Tahoma"/>
          <w:sz w:val="20"/>
          <w:szCs w:val="20"/>
        </w:rPr>
        <w:t xml:space="preserve"> </w:t>
      </w:r>
    </w:p>
    <w:p w14:paraId="23B6AC25" w14:textId="77777777" w:rsidR="0041025E" w:rsidRDefault="0041025E" w:rsidP="009A4C1E">
      <w:pPr>
        <w:widowControl w:val="0"/>
        <w:spacing w:after="0" w:line="240" w:lineRule="auto"/>
        <w:rPr>
          <w:rFonts w:ascii="Tahoma" w:eastAsia="Helvetica Neue" w:hAnsi="Tahoma" w:cs="Tahoma"/>
          <w:highlight w:val="white"/>
        </w:rPr>
      </w:pPr>
    </w:p>
    <w:p w14:paraId="2B5ED102" w14:textId="77777777" w:rsidR="001615A7" w:rsidRDefault="001615A7" w:rsidP="001615A7">
      <w:pPr>
        <w:widowControl w:val="0"/>
        <w:spacing w:after="0" w:line="240" w:lineRule="auto"/>
        <w:jc w:val="center"/>
        <w:rPr>
          <w:rFonts w:ascii="Tahoma" w:eastAsia="Helvetica Neue" w:hAnsi="Tahoma" w:cs="Tahoma"/>
          <w:b/>
          <w:bCs/>
          <w:highlight w:val="white"/>
        </w:rPr>
      </w:pPr>
    </w:p>
    <w:p w14:paraId="36403AA9" w14:textId="5366D74F" w:rsidR="001615A7" w:rsidRPr="00374AA3" w:rsidRDefault="001615A7" w:rsidP="00374AA3">
      <w:pPr>
        <w:widowControl w:val="0"/>
        <w:spacing w:after="0" w:line="240" w:lineRule="auto"/>
        <w:jc w:val="center"/>
        <w:rPr>
          <w:rFonts w:ascii="Tahoma" w:eastAsia="Helvetica Neue" w:hAnsi="Tahoma" w:cs="Tahoma"/>
          <w:b/>
          <w:bCs/>
          <w:highlight w:val="white"/>
        </w:rPr>
      </w:pPr>
      <w:proofErr w:type="spellStart"/>
      <w:r w:rsidRPr="00374AA3">
        <w:rPr>
          <w:rFonts w:ascii="Tahoma" w:eastAsia="Helvetica Neue" w:hAnsi="Tahoma" w:cs="Tahoma"/>
          <w:b/>
          <w:bCs/>
          <w:highlight w:val="white"/>
        </w:rPr>
        <w:t>Hightlights</w:t>
      </w:r>
      <w:proofErr w:type="spellEnd"/>
      <w:r w:rsidRPr="00374AA3">
        <w:rPr>
          <w:rFonts w:ascii="Tahoma" w:eastAsia="Helvetica Neue" w:hAnsi="Tahoma" w:cs="Tahoma"/>
          <w:b/>
          <w:bCs/>
          <w:highlight w:val="white"/>
        </w:rPr>
        <w:t xml:space="preserve"> 2024</w:t>
      </w:r>
    </w:p>
    <w:p w14:paraId="0DD6F215" w14:textId="77777777" w:rsidR="001615A7" w:rsidRDefault="001615A7" w:rsidP="009A4C1E">
      <w:pPr>
        <w:widowControl w:val="0"/>
        <w:spacing w:after="0" w:line="240" w:lineRule="auto"/>
        <w:rPr>
          <w:rFonts w:ascii="Tahoma" w:eastAsia="Helvetica Neue" w:hAnsi="Tahoma" w:cs="Tahoma"/>
          <w:highlight w:val="white"/>
        </w:rPr>
      </w:pPr>
    </w:p>
    <w:p w14:paraId="740768D1" w14:textId="3B2FC37C" w:rsidR="003F18FD" w:rsidRDefault="003F18FD" w:rsidP="001615A7">
      <w:pPr>
        <w:widowControl w:val="0"/>
        <w:spacing w:after="0" w:line="240" w:lineRule="auto"/>
        <w:jc w:val="center"/>
        <w:rPr>
          <w:rFonts w:ascii="Tahoma" w:eastAsia="Helvetica Neue" w:hAnsi="Tahoma" w:cs="Tahoma"/>
          <w:highlight w:val="white"/>
        </w:rPr>
      </w:pPr>
      <w:r>
        <w:rPr>
          <w:noProof/>
        </w:rPr>
        <w:drawing>
          <wp:inline distT="0" distB="0" distL="0" distR="0" wp14:anchorId="326B3720" wp14:editId="6439FEAC">
            <wp:extent cx="4676775" cy="5807857"/>
            <wp:effectExtent l="0" t="0" r="0" b="2540"/>
            <wp:docPr id="219012840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57887" name="Immagine 1" descr="Immagine che contiene testo, schermata, Carattere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9" b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48" cy="58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0F0D1" w14:textId="77777777" w:rsidR="001615A7" w:rsidRPr="00DA2F6A" w:rsidRDefault="001615A7" w:rsidP="009A4C1E">
      <w:pPr>
        <w:widowControl w:val="0"/>
        <w:spacing w:after="0" w:line="240" w:lineRule="auto"/>
        <w:rPr>
          <w:rFonts w:ascii="Tahoma" w:eastAsia="Helvetica Neue" w:hAnsi="Tahoma" w:cs="Tahoma"/>
          <w:highlight w:val="white"/>
        </w:rPr>
      </w:pPr>
    </w:p>
    <w:p w14:paraId="612D58FD" w14:textId="77777777" w:rsidR="001A1192" w:rsidRPr="00DA2F6A" w:rsidRDefault="001A1192" w:rsidP="009A4C1E">
      <w:pPr>
        <w:spacing w:after="0" w:line="240" w:lineRule="auto"/>
        <w:jc w:val="center"/>
        <w:rPr>
          <w:rFonts w:ascii="Tahoma" w:hAnsi="Tahoma" w:cs="Tahoma"/>
        </w:rPr>
      </w:pPr>
      <w:r w:rsidRPr="00DA2F6A">
        <w:rPr>
          <w:rFonts w:ascii="Tahoma" w:hAnsi="Tahoma" w:cs="Tahoma"/>
        </w:rPr>
        <w:t>…</w:t>
      </w:r>
    </w:p>
    <w:p w14:paraId="28FADC8E" w14:textId="77777777" w:rsidR="001615A7" w:rsidRDefault="001615A7" w:rsidP="001615A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A93C0E8" w14:textId="79CFF873" w:rsidR="001A1192" w:rsidRPr="00DA2F6A" w:rsidRDefault="00B43A71" w:rsidP="00374AA3">
      <w:pPr>
        <w:spacing w:after="0" w:line="240" w:lineRule="auto"/>
        <w:jc w:val="both"/>
        <w:rPr>
          <w:rFonts w:ascii="Tahoma" w:hAnsi="Tahoma" w:cs="Tahoma"/>
          <w:color w:val="FF0000"/>
        </w:rPr>
      </w:pPr>
      <w:r w:rsidRPr="001615A7">
        <w:rPr>
          <w:rFonts w:ascii="Tahoma" w:hAnsi="Tahoma" w:cs="Tahoma"/>
          <w:sz w:val="18"/>
          <w:szCs w:val="18"/>
        </w:rPr>
        <w:t xml:space="preserve">Il </w:t>
      </w:r>
      <w:r w:rsidRPr="001615A7">
        <w:rPr>
          <w:rFonts w:ascii="Tahoma" w:hAnsi="Tahoma" w:cs="Tahoma"/>
          <w:b/>
          <w:bCs/>
          <w:sz w:val="18"/>
          <w:szCs w:val="18"/>
        </w:rPr>
        <w:t>Gruppo GranTerre</w:t>
      </w:r>
      <w:r w:rsidRPr="001615A7">
        <w:rPr>
          <w:rFonts w:ascii="Tahoma" w:hAnsi="Tahoma" w:cs="Tahoma"/>
          <w:sz w:val="18"/>
          <w:szCs w:val="18"/>
        </w:rPr>
        <w:t xml:space="preserve"> (Granterre Spa) nasce il 1° gennaio 2019 dall’aggregazione di due realtà storiche dell’agroalimentare italiano: Grandi Salumifici Italiani Spa (ora Salumifici Granterre Spa) e Parmareggio Spa (ora Caseifici Granterre Spa). Il Gruppo, a totale proprietà cooperativa, partecipato e controllato da Consorzio Granterre </w:t>
      </w:r>
      <w:proofErr w:type="spellStart"/>
      <w:r w:rsidRPr="001615A7">
        <w:rPr>
          <w:rFonts w:ascii="Tahoma" w:hAnsi="Tahoma" w:cs="Tahoma"/>
          <w:sz w:val="18"/>
          <w:szCs w:val="18"/>
        </w:rPr>
        <w:t>Sca</w:t>
      </w:r>
      <w:proofErr w:type="spellEnd"/>
      <w:r w:rsidRPr="001615A7">
        <w:rPr>
          <w:rFonts w:ascii="Tahoma" w:hAnsi="Tahoma" w:cs="Tahoma"/>
          <w:sz w:val="18"/>
          <w:szCs w:val="18"/>
        </w:rPr>
        <w:t xml:space="preserve">, produce e commercializza alcune delle principali eccellenze italiane (DOP e IGP) dei salumi (Prosciutto di Parma, Prosciutto San Daniele, Salame Cacciatore, Speck Alto Adige, Mortadella Bologna e altri), dei formaggi stagionati (Parmigiano Reggiano, Grana Padano, Pecorino, Asiago, Piave e altri), del burro e dei piatti pronti, coniugando grande capacità industriale e sostenibilità. Oltre al company name e brand federatore GranTerre, fanno parte del Gruppo marche quali Parmareggio, Parmacotto, Casa Modena, </w:t>
      </w:r>
      <w:proofErr w:type="spellStart"/>
      <w:r w:rsidRPr="001615A7">
        <w:rPr>
          <w:rFonts w:ascii="Tahoma" w:hAnsi="Tahoma" w:cs="Tahoma"/>
          <w:sz w:val="18"/>
          <w:szCs w:val="18"/>
        </w:rPr>
        <w:t>Senfter</w:t>
      </w:r>
      <w:proofErr w:type="spellEnd"/>
      <w:r w:rsidRPr="001615A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1615A7">
        <w:rPr>
          <w:rFonts w:ascii="Tahoma" w:hAnsi="Tahoma" w:cs="Tahoma"/>
          <w:sz w:val="18"/>
          <w:szCs w:val="18"/>
        </w:rPr>
        <w:t>Agriform</w:t>
      </w:r>
      <w:proofErr w:type="spellEnd"/>
      <w:r w:rsidRPr="001615A7">
        <w:rPr>
          <w:rFonts w:ascii="Tahoma" w:hAnsi="Tahoma" w:cs="Tahoma"/>
          <w:sz w:val="18"/>
          <w:szCs w:val="18"/>
        </w:rPr>
        <w:t>, Alcisa, Teneroni, Gran Tenerone, Liberamente e altre. Il Gruppo vanta 22 stabilimenti produttivi in Italia, compresa la base logistica, e 2 negli USA, 5 filiali estere, oltre 3.000 dipendenti e collaboratori, ed esporta in 75 Paesi nel mondo. Il fatturato 2024 ha superato gli 1,67 miliardi di euro</w:t>
      </w:r>
      <w:r w:rsidR="00D06C02" w:rsidRPr="001615A7">
        <w:rPr>
          <w:rFonts w:ascii="Tahoma" w:hAnsi="Tahoma" w:cs="Tahoma"/>
          <w:sz w:val="18"/>
          <w:szCs w:val="18"/>
        </w:rPr>
        <w:t>, di cui 506 milioni all’estero,</w:t>
      </w:r>
      <w:r w:rsidRPr="001615A7">
        <w:rPr>
          <w:rFonts w:ascii="Tahoma" w:hAnsi="Tahoma" w:cs="Tahoma"/>
          <w:sz w:val="18"/>
          <w:szCs w:val="18"/>
        </w:rPr>
        <w:t xml:space="preserve"> e nel 2025, allo stato delle previsioni, viaggia verso il valore di 2 Mld €.</w:t>
      </w:r>
    </w:p>
    <w:sectPr w:rsidR="001A1192" w:rsidRPr="00DA2F6A" w:rsidSect="001216E1">
      <w:headerReference w:type="default" r:id="rId12"/>
      <w:pgSz w:w="11906" w:h="16838"/>
      <w:pgMar w:top="141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1DDE" w14:textId="77777777" w:rsidR="00DB1A30" w:rsidRDefault="00DB1A30" w:rsidP="0031032C">
      <w:pPr>
        <w:spacing w:after="0" w:line="240" w:lineRule="auto"/>
      </w:pPr>
      <w:r>
        <w:separator/>
      </w:r>
    </w:p>
  </w:endnote>
  <w:endnote w:type="continuationSeparator" w:id="0">
    <w:p w14:paraId="231127BD" w14:textId="77777777" w:rsidR="00DB1A30" w:rsidRDefault="00DB1A30" w:rsidP="003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A739" w14:textId="77777777" w:rsidR="00DB1A30" w:rsidRDefault="00DB1A30" w:rsidP="0031032C">
      <w:pPr>
        <w:spacing w:after="0" w:line="240" w:lineRule="auto"/>
      </w:pPr>
      <w:r>
        <w:separator/>
      </w:r>
    </w:p>
  </w:footnote>
  <w:footnote w:type="continuationSeparator" w:id="0">
    <w:p w14:paraId="7A559DE7" w14:textId="77777777" w:rsidR="00DB1A30" w:rsidRDefault="00DB1A30" w:rsidP="0031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D461" w14:textId="36C9A71F" w:rsidR="00FE5AB6" w:rsidRDefault="00E04AB4" w:rsidP="00FE5AB6">
    <w:pPr>
      <w:pStyle w:val="Intestazione"/>
      <w:jc w:val="center"/>
    </w:pPr>
    <w:r>
      <w:rPr>
        <w:noProof/>
      </w:rPr>
      <w:drawing>
        <wp:inline distT="0" distB="0" distL="0" distR="0" wp14:anchorId="7531AB11" wp14:editId="4FE824A2">
          <wp:extent cx="1227160" cy="577496"/>
          <wp:effectExtent l="0" t="0" r="0" b="0"/>
          <wp:docPr id="1297548280" name="Immagine 1297548280" descr="Logo Grante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nter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408" cy="58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5A8A6" w14:textId="619763DB" w:rsidR="00FE5AB6" w:rsidRDefault="003A248B" w:rsidP="003A248B">
    <w:pPr>
      <w:pStyle w:val="Intestazione"/>
      <w:tabs>
        <w:tab w:val="clear" w:pos="9638"/>
        <w:tab w:val="left" w:pos="8160"/>
      </w:tabs>
    </w:pPr>
    <w:r>
      <w:tab/>
    </w:r>
    <w:r>
      <w:tab/>
    </w:r>
    <w:r w:rsidR="00FE5AB6">
      <w:tab/>
    </w:r>
    <w:r w:rsidR="00FE5A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611B"/>
    <w:multiLevelType w:val="hybridMultilevel"/>
    <w:tmpl w:val="92C61886"/>
    <w:lvl w:ilvl="0" w:tplc="786E81A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90"/>
    <w:multiLevelType w:val="hybridMultilevel"/>
    <w:tmpl w:val="F830D1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547"/>
    <w:multiLevelType w:val="hybridMultilevel"/>
    <w:tmpl w:val="441C5D9C"/>
    <w:lvl w:ilvl="0" w:tplc="D2F4756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51A92"/>
    <w:multiLevelType w:val="hybridMultilevel"/>
    <w:tmpl w:val="1C74DA64"/>
    <w:lvl w:ilvl="0" w:tplc="285472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4EA8"/>
    <w:multiLevelType w:val="hybridMultilevel"/>
    <w:tmpl w:val="3B4A0D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2EA4"/>
    <w:multiLevelType w:val="hybridMultilevel"/>
    <w:tmpl w:val="3E7EBF24"/>
    <w:lvl w:ilvl="0" w:tplc="99201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73F9D"/>
    <w:multiLevelType w:val="hybridMultilevel"/>
    <w:tmpl w:val="428EB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0BCF"/>
    <w:multiLevelType w:val="hybridMultilevel"/>
    <w:tmpl w:val="EEA0056C"/>
    <w:lvl w:ilvl="0" w:tplc="9D62237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C73FD"/>
    <w:multiLevelType w:val="hybridMultilevel"/>
    <w:tmpl w:val="F0E4E3A4"/>
    <w:lvl w:ilvl="0" w:tplc="285472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176DA"/>
    <w:multiLevelType w:val="hybridMultilevel"/>
    <w:tmpl w:val="AD04F570"/>
    <w:lvl w:ilvl="0" w:tplc="5FD2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04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2B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21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2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C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6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00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019271">
    <w:abstractNumId w:val="9"/>
  </w:num>
  <w:num w:numId="2" w16cid:durableId="1832136340">
    <w:abstractNumId w:val="0"/>
  </w:num>
  <w:num w:numId="3" w16cid:durableId="2017225559">
    <w:abstractNumId w:val="2"/>
  </w:num>
  <w:num w:numId="4" w16cid:durableId="643923659">
    <w:abstractNumId w:val="7"/>
  </w:num>
  <w:num w:numId="5" w16cid:durableId="634022867">
    <w:abstractNumId w:val="5"/>
  </w:num>
  <w:num w:numId="6" w16cid:durableId="455492829">
    <w:abstractNumId w:val="4"/>
  </w:num>
  <w:num w:numId="7" w16cid:durableId="236978688">
    <w:abstractNumId w:val="3"/>
  </w:num>
  <w:num w:numId="8" w16cid:durableId="1744526332">
    <w:abstractNumId w:val="8"/>
  </w:num>
  <w:num w:numId="9" w16cid:durableId="2097360182">
    <w:abstractNumId w:val="1"/>
  </w:num>
  <w:num w:numId="10" w16cid:durableId="2049602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EF"/>
    <w:rsid w:val="00006B54"/>
    <w:rsid w:val="000101EA"/>
    <w:rsid w:val="000108B6"/>
    <w:rsid w:val="00017E0C"/>
    <w:rsid w:val="0002382E"/>
    <w:rsid w:val="00024DAB"/>
    <w:rsid w:val="0004157E"/>
    <w:rsid w:val="0004533F"/>
    <w:rsid w:val="000545B1"/>
    <w:rsid w:val="00062CBE"/>
    <w:rsid w:val="000633A7"/>
    <w:rsid w:val="000640E2"/>
    <w:rsid w:val="000656E9"/>
    <w:rsid w:val="00065C90"/>
    <w:rsid w:val="00070B26"/>
    <w:rsid w:val="00070D12"/>
    <w:rsid w:val="00072A07"/>
    <w:rsid w:val="00073BCC"/>
    <w:rsid w:val="000765EB"/>
    <w:rsid w:val="00087408"/>
    <w:rsid w:val="00090C69"/>
    <w:rsid w:val="00095840"/>
    <w:rsid w:val="00096C3E"/>
    <w:rsid w:val="000A00C8"/>
    <w:rsid w:val="000A3778"/>
    <w:rsid w:val="000A757D"/>
    <w:rsid w:val="000B12A7"/>
    <w:rsid w:val="000B50B1"/>
    <w:rsid w:val="000B53D2"/>
    <w:rsid w:val="000D052B"/>
    <w:rsid w:val="000D0877"/>
    <w:rsid w:val="000D6419"/>
    <w:rsid w:val="000E0616"/>
    <w:rsid w:val="000E06D4"/>
    <w:rsid w:val="000E09CB"/>
    <w:rsid w:val="000E2FE8"/>
    <w:rsid w:val="000F27F6"/>
    <w:rsid w:val="000F6383"/>
    <w:rsid w:val="00102579"/>
    <w:rsid w:val="001036A3"/>
    <w:rsid w:val="001056C7"/>
    <w:rsid w:val="00111CD3"/>
    <w:rsid w:val="00111E1B"/>
    <w:rsid w:val="00121279"/>
    <w:rsid w:val="001216E1"/>
    <w:rsid w:val="00126B42"/>
    <w:rsid w:val="00132A89"/>
    <w:rsid w:val="0013379C"/>
    <w:rsid w:val="00136FE8"/>
    <w:rsid w:val="00137CD8"/>
    <w:rsid w:val="00141440"/>
    <w:rsid w:val="00142682"/>
    <w:rsid w:val="001510A1"/>
    <w:rsid w:val="001615A7"/>
    <w:rsid w:val="00162232"/>
    <w:rsid w:val="001660A3"/>
    <w:rsid w:val="00167BC1"/>
    <w:rsid w:val="00167EE1"/>
    <w:rsid w:val="00175C5D"/>
    <w:rsid w:val="00187D2A"/>
    <w:rsid w:val="001922C8"/>
    <w:rsid w:val="00195AC6"/>
    <w:rsid w:val="001A05EB"/>
    <w:rsid w:val="001A1192"/>
    <w:rsid w:val="001A23EE"/>
    <w:rsid w:val="001A2A28"/>
    <w:rsid w:val="001A38A0"/>
    <w:rsid w:val="001A5419"/>
    <w:rsid w:val="001B18AA"/>
    <w:rsid w:val="001B2C45"/>
    <w:rsid w:val="001B69B4"/>
    <w:rsid w:val="001B6A7E"/>
    <w:rsid w:val="001C11AD"/>
    <w:rsid w:val="001E00D2"/>
    <w:rsid w:val="001E1EB1"/>
    <w:rsid w:val="001E64A2"/>
    <w:rsid w:val="001E7A4D"/>
    <w:rsid w:val="001F058B"/>
    <w:rsid w:val="001F639E"/>
    <w:rsid w:val="00202ED4"/>
    <w:rsid w:val="0020409B"/>
    <w:rsid w:val="00207334"/>
    <w:rsid w:val="00210278"/>
    <w:rsid w:val="00211C4E"/>
    <w:rsid w:val="002140E0"/>
    <w:rsid w:val="00214D66"/>
    <w:rsid w:val="00214EB7"/>
    <w:rsid w:val="002174D8"/>
    <w:rsid w:val="00217D44"/>
    <w:rsid w:val="00223467"/>
    <w:rsid w:val="002236FD"/>
    <w:rsid w:val="00226E93"/>
    <w:rsid w:val="00227BCE"/>
    <w:rsid w:val="002329EA"/>
    <w:rsid w:val="0024226F"/>
    <w:rsid w:val="00245F21"/>
    <w:rsid w:val="002474E4"/>
    <w:rsid w:val="0025164E"/>
    <w:rsid w:val="00254C00"/>
    <w:rsid w:val="00257036"/>
    <w:rsid w:val="00260FF1"/>
    <w:rsid w:val="002655F7"/>
    <w:rsid w:val="0029413D"/>
    <w:rsid w:val="00296FCA"/>
    <w:rsid w:val="002B2BBD"/>
    <w:rsid w:val="002B5FBB"/>
    <w:rsid w:val="002B718D"/>
    <w:rsid w:val="002B774B"/>
    <w:rsid w:val="002C5912"/>
    <w:rsid w:val="002D1114"/>
    <w:rsid w:val="002D2F2C"/>
    <w:rsid w:val="002E2E05"/>
    <w:rsid w:val="002E2EE5"/>
    <w:rsid w:val="002E32D0"/>
    <w:rsid w:val="002F28CC"/>
    <w:rsid w:val="002F3FF8"/>
    <w:rsid w:val="002F6F6B"/>
    <w:rsid w:val="00302750"/>
    <w:rsid w:val="00304A78"/>
    <w:rsid w:val="00305D59"/>
    <w:rsid w:val="0031032C"/>
    <w:rsid w:val="00322837"/>
    <w:rsid w:val="00322E7D"/>
    <w:rsid w:val="00324513"/>
    <w:rsid w:val="00324A8E"/>
    <w:rsid w:val="0033252F"/>
    <w:rsid w:val="00335FA9"/>
    <w:rsid w:val="0033740F"/>
    <w:rsid w:val="00340E75"/>
    <w:rsid w:val="00341E8C"/>
    <w:rsid w:val="003425BF"/>
    <w:rsid w:val="00346A37"/>
    <w:rsid w:val="00351443"/>
    <w:rsid w:val="003619D8"/>
    <w:rsid w:val="0036423B"/>
    <w:rsid w:val="003651A0"/>
    <w:rsid w:val="0036543F"/>
    <w:rsid w:val="003700A8"/>
    <w:rsid w:val="00372055"/>
    <w:rsid w:val="00373328"/>
    <w:rsid w:val="00374AA3"/>
    <w:rsid w:val="00374FB5"/>
    <w:rsid w:val="00381F04"/>
    <w:rsid w:val="00386523"/>
    <w:rsid w:val="003876E1"/>
    <w:rsid w:val="0039040C"/>
    <w:rsid w:val="00391AD1"/>
    <w:rsid w:val="003969A1"/>
    <w:rsid w:val="003A248B"/>
    <w:rsid w:val="003A318C"/>
    <w:rsid w:val="003A5CEE"/>
    <w:rsid w:val="003B0B8C"/>
    <w:rsid w:val="003B3472"/>
    <w:rsid w:val="003C3E87"/>
    <w:rsid w:val="003D2D5E"/>
    <w:rsid w:val="003E340F"/>
    <w:rsid w:val="003F18FD"/>
    <w:rsid w:val="003F42E6"/>
    <w:rsid w:val="003F55AE"/>
    <w:rsid w:val="00401AB2"/>
    <w:rsid w:val="004039E2"/>
    <w:rsid w:val="00407B22"/>
    <w:rsid w:val="0041025E"/>
    <w:rsid w:val="00413189"/>
    <w:rsid w:val="00425CE6"/>
    <w:rsid w:val="00426067"/>
    <w:rsid w:val="00426F24"/>
    <w:rsid w:val="004457D4"/>
    <w:rsid w:val="00447A88"/>
    <w:rsid w:val="00453A90"/>
    <w:rsid w:val="004556E0"/>
    <w:rsid w:val="0046425E"/>
    <w:rsid w:val="00464FE1"/>
    <w:rsid w:val="00467B1C"/>
    <w:rsid w:val="004757FC"/>
    <w:rsid w:val="004773D1"/>
    <w:rsid w:val="00480C23"/>
    <w:rsid w:val="00482C8E"/>
    <w:rsid w:val="00485127"/>
    <w:rsid w:val="004914A6"/>
    <w:rsid w:val="00496367"/>
    <w:rsid w:val="004A5B2D"/>
    <w:rsid w:val="004B7C9E"/>
    <w:rsid w:val="004B7EB6"/>
    <w:rsid w:val="004C2111"/>
    <w:rsid w:val="004C2869"/>
    <w:rsid w:val="004C4A07"/>
    <w:rsid w:val="004C561D"/>
    <w:rsid w:val="004D2363"/>
    <w:rsid w:val="004D2E13"/>
    <w:rsid w:val="004D539F"/>
    <w:rsid w:val="004E32F1"/>
    <w:rsid w:val="004F15FF"/>
    <w:rsid w:val="004F3431"/>
    <w:rsid w:val="00511095"/>
    <w:rsid w:val="00511C07"/>
    <w:rsid w:val="0051214E"/>
    <w:rsid w:val="0051427A"/>
    <w:rsid w:val="00520B2F"/>
    <w:rsid w:val="00525EB6"/>
    <w:rsid w:val="005275F4"/>
    <w:rsid w:val="005302E8"/>
    <w:rsid w:val="005304EC"/>
    <w:rsid w:val="00530FC2"/>
    <w:rsid w:val="00532754"/>
    <w:rsid w:val="005354B1"/>
    <w:rsid w:val="005460F4"/>
    <w:rsid w:val="00552C3F"/>
    <w:rsid w:val="00561C86"/>
    <w:rsid w:val="005671E4"/>
    <w:rsid w:val="005748FD"/>
    <w:rsid w:val="005805A2"/>
    <w:rsid w:val="00586CDC"/>
    <w:rsid w:val="00594FBC"/>
    <w:rsid w:val="005B46B9"/>
    <w:rsid w:val="005C3B4F"/>
    <w:rsid w:val="005C474C"/>
    <w:rsid w:val="005C5413"/>
    <w:rsid w:val="005C6790"/>
    <w:rsid w:val="005D24F5"/>
    <w:rsid w:val="005D326C"/>
    <w:rsid w:val="005D32AA"/>
    <w:rsid w:val="005D32D8"/>
    <w:rsid w:val="005D5933"/>
    <w:rsid w:val="005D79EE"/>
    <w:rsid w:val="005E4986"/>
    <w:rsid w:val="005E7163"/>
    <w:rsid w:val="005F6386"/>
    <w:rsid w:val="005F7599"/>
    <w:rsid w:val="00601CBC"/>
    <w:rsid w:val="006122F1"/>
    <w:rsid w:val="0061257B"/>
    <w:rsid w:val="006151E9"/>
    <w:rsid w:val="0061710F"/>
    <w:rsid w:val="00617F03"/>
    <w:rsid w:val="00621E5E"/>
    <w:rsid w:val="00632DAB"/>
    <w:rsid w:val="00636D09"/>
    <w:rsid w:val="0064254C"/>
    <w:rsid w:val="00653D2A"/>
    <w:rsid w:val="00662EA8"/>
    <w:rsid w:val="00673D60"/>
    <w:rsid w:val="00681271"/>
    <w:rsid w:val="006976B6"/>
    <w:rsid w:val="006A222B"/>
    <w:rsid w:val="006A36CB"/>
    <w:rsid w:val="006A4C4E"/>
    <w:rsid w:val="006A64D0"/>
    <w:rsid w:val="006B2921"/>
    <w:rsid w:val="006C7791"/>
    <w:rsid w:val="006D4F7B"/>
    <w:rsid w:val="006D64EF"/>
    <w:rsid w:val="006D7577"/>
    <w:rsid w:val="006E107E"/>
    <w:rsid w:val="006E4B2F"/>
    <w:rsid w:val="006E4B44"/>
    <w:rsid w:val="006E52D9"/>
    <w:rsid w:val="006F06D2"/>
    <w:rsid w:val="006F30AC"/>
    <w:rsid w:val="006F51B0"/>
    <w:rsid w:val="006F663D"/>
    <w:rsid w:val="0070549C"/>
    <w:rsid w:val="00706FB6"/>
    <w:rsid w:val="00714A0B"/>
    <w:rsid w:val="007204B3"/>
    <w:rsid w:val="007235C4"/>
    <w:rsid w:val="00731A43"/>
    <w:rsid w:val="00733188"/>
    <w:rsid w:val="00740369"/>
    <w:rsid w:val="007465D3"/>
    <w:rsid w:val="00746D48"/>
    <w:rsid w:val="00747BA8"/>
    <w:rsid w:val="00753DB4"/>
    <w:rsid w:val="00756C5A"/>
    <w:rsid w:val="0076496E"/>
    <w:rsid w:val="00767A46"/>
    <w:rsid w:val="00767EE6"/>
    <w:rsid w:val="0077227C"/>
    <w:rsid w:val="00772C43"/>
    <w:rsid w:val="007777EB"/>
    <w:rsid w:val="007817CE"/>
    <w:rsid w:val="00785ECA"/>
    <w:rsid w:val="00790F5D"/>
    <w:rsid w:val="007A6DB5"/>
    <w:rsid w:val="007B3F8E"/>
    <w:rsid w:val="007C6A63"/>
    <w:rsid w:val="007C7291"/>
    <w:rsid w:val="007D2995"/>
    <w:rsid w:val="007D67E4"/>
    <w:rsid w:val="007E0931"/>
    <w:rsid w:val="007E29AB"/>
    <w:rsid w:val="007E4253"/>
    <w:rsid w:val="008036C8"/>
    <w:rsid w:val="00813A3E"/>
    <w:rsid w:val="008204A0"/>
    <w:rsid w:val="0082076C"/>
    <w:rsid w:val="0083743B"/>
    <w:rsid w:val="00842008"/>
    <w:rsid w:val="0084368C"/>
    <w:rsid w:val="00844AAF"/>
    <w:rsid w:val="00847C7C"/>
    <w:rsid w:val="00850BC8"/>
    <w:rsid w:val="00852565"/>
    <w:rsid w:val="00853168"/>
    <w:rsid w:val="0085365F"/>
    <w:rsid w:val="008572AF"/>
    <w:rsid w:val="0086615D"/>
    <w:rsid w:val="00872B2C"/>
    <w:rsid w:val="00873C61"/>
    <w:rsid w:val="00874B50"/>
    <w:rsid w:val="008874F5"/>
    <w:rsid w:val="00891786"/>
    <w:rsid w:val="00891AA6"/>
    <w:rsid w:val="00894F29"/>
    <w:rsid w:val="00895D88"/>
    <w:rsid w:val="00895FBF"/>
    <w:rsid w:val="0089702D"/>
    <w:rsid w:val="008A11FB"/>
    <w:rsid w:val="008A5BBF"/>
    <w:rsid w:val="008A7768"/>
    <w:rsid w:val="008C2D84"/>
    <w:rsid w:val="008C2EEC"/>
    <w:rsid w:val="008D2D0F"/>
    <w:rsid w:val="008D382F"/>
    <w:rsid w:val="008D4506"/>
    <w:rsid w:val="008D4C2A"/>
    <w:rsid w:val="008E09CD"/>
    <w:rsid w:val="008E4EFA"/>
    <w:rsid w:val="008E6511"/>
    <w:rsid w:val="008E682E"/>
    <w:rsid w:val="008F48AF"/>
    <w:rsid w:val="00901A75"/>
    <w:rsid w:val="00902C39"/>
    <w:rsid w:val="009034CF"/>
    <w:rsid w:val="00904F80"/>
    <w:rsid w:val="0091121E"/>
    <w:rsid w:val="00915406"/>
    <w:rsid w:val="00916771"/>
    <w:rsid w:val="00916AD6"/>
    <w:rsid w:val="00916FB1"/>
    <w:rsid w:val="009222E3"/>
    <w:rsid w:val="00924383"/>
    <w:rsid w:val="00943636"/>
    <w:rsid w:val="00946632"/>
    <w:rsid w:val="00946FF1"/>
    <w:rsid w:val="0094748A"/>
    <w:rsid w:val="0095106E"/>
    <w:rsid w:val="0095316B"/>
    <w:rsid w:val="00953734"/>
    <w:rsid w:val="0095455D"/>
    <w:rsid w:val="009559D8"/>
    <w:rsid w:val="00956479"/>
    <w:rsid w:val="00957916"/>
    <w:rsid w:val="00957E1F"/>
    <w:rsid w:val="0096091A"/>
    <w:rsid w:val="00967DF6"/>
    <w:rsid w:val="00972258"/>
    <w:rsid w:val="00972927"/>
    <w:rsid w:val="00983926"/>
    <w:rsid w:val="00986F1C"/>
    <w:rsid w:val="00995613"/>
    <w:rsid w:val="009A49F6"/>
    <w:rsid w:val="009A4C1E"/>
    <w:rsid w:val="009A5B0A"/>
    <w:rsid w:val="009C3C20"/>
    <w:rsid w:val="009C3E3D"/>
    <w:rsid w:val="009C5050"/>
    <w:rsid w:val="009D3A7F"/>
    <w:rsid w:val="009D6214"/>
    <w:rsid w:val="009D720A"/>
    <w:rsid w:val="009E265B"/>
    <w:rsid w:val="009F0F70"/>
    <w:rsid w:val="009F74BA"/>
    <w:rsid w:val="00A03A6F"/>
    <w:rsid w:val="00A1128F"/>
    <w:rsid w:val="00A16774"/>
    <w:rsid w:val="00A16BE9"/>
    <w:rsid w:val="00A1722B"/>
    <w:rsid w:val="00A20F39"/>
    <w:rsid w:val="00A226FE"/>
    <w:rsid w:val="00A25D41"/>
    <w:rsid w:val="00A273EC"/>
    <w:rsid w:val="00A34118"/>
    <w:rsid w:val="00A47C2F"/>
    <w:rsid w:val="00A51C71"/>
    <w:rsid w:val="00A541D3"/>
    <w:rsid w:val="00A562D6"/>
    <w:rsid w:val="00A668DA"/>
    <w:rsid w:val="00A71F27"/>
    <w:rsid w:val="00A74E42"/>
    <w:rsid w:val="00A82167"/>
    <w:rsid w:val="00A85975"/>
    <w:rsid w:val="00A8631F"/>
    <w:rsid w:val="00A92E58"/>
    <w:rsid w:val="00AA16F9"/>
    <w:rsid w:val="00AA2532"/>
    <w:rsid w:val="00AA412A"/>
    <w:rsid w:val="00AA6381"/>
    <w:rsid w:val="00AB0874"/>
    <w:rsid w:val="00AB6D16"/>
    <w:rsid w:val="00AB770A"/>
    <w:rsid w:val="00AC26C7"/>
    <w:rsid w:val="00AC2B96"/>
    <w:rsid w:val="00AC5530"/>
    <w:rsid w:val="00AD138E"/>
    <w:rsid w:val="00AD5B9F"/>
    <w:rsid w:val="00B00360"/>
    <w:rsid w:val="00B00835"/>
    <w:rsid w:val="00B06ABA"/>
    <w:rsid w:val="00B14E9F"/>
    <w:rsid w:val="00B160AD"/>
    <w:rsid w:val="00B24DCA"/>
    <w:rsid w:val="00B2540D"/>
    <w:rsid w:val="00B27B31"/>
    <w:rsid w:val="00B30273"/>
    <w:rsid w:val="00B33B19"/>
    <w:rsid w:val="00B33FC2"/>
    <w:rsid w:val="00B34076"/>
    <w:rsid w:val="00B368EC"/>
    <w:rsid w:val="00B372A8"/>
    <w:rsid w:val="00B40424"/>
    <w:rsid w:val="00B40449"/>
    <w:rsid w:val="00B42464"/>
    <w:rsid w:val="00B43A71"/>
    <w:rsid w:val="00B50AB1"/>
    <w:rsid w:val="00B55F9D"/>
    <w:rsid w:val="00B67C76"/>
    <w:rsid w:val="00B72F37"/>
    <w:rsid w:val="00B74A0E"/>
    <w:rsid w:val="00B75156"/>
    <w:rsid w:val="00B80F8E"/>
    <w:rsid w:val="00B822CB"/>
    <w:rsid w:val="00B82628"/>
    <w:rsid w:val="00B84D5D"/>
    <w:rsid w:val="00B87B28"/>
    <w:rsid w:val="00B92318"/>
    <w:rsid w:val="00B9291F"/>
    <w:rsid w:val="00B92CE4"/>
    <w:rsid w:val="00BA041D"/>
    <w:rsid w:val="00BA0D08"/>
    <w:rsid w:val="00BA136C"/>
    <w:rsid w:val="00BA141C"/>
    <w:rsid w:val="00BA655F"/>
    <w:rsid w:val="00BA7A31"/>
    <w:rsid w:val="00BA7D46"/>
    <w:rsid w:val="00BD05C0"/>
    <w:rsid w:val="00BD2E76"/>
    <w:rsid w:val="00BE3C7B"/>
    <w:rsid w:val="00BE42EB"/>
    <w:rsid w:val="00BF0556"/>
    <w:rsid w:val="00BF6F26"/>
    <w:rsid w:val="00BF6FE2"/>
    <w:rsid w:val="00C04BF0"/>
    <w:rsid w:val="00C056F5"/>
    <w:rsid w:val="00C05A25"/>
    <w:rsid w:val="00C12E87"/>
    <w:rsid w:val="00C136D7"/>
    <w:rsid w:val="00C14426"/>
    <w:rsid w:val="00C260DA"/>
    <w:rsid w:val="00C276AA"/>
    <w:rsid w:val="00C27F3B"/>
    <w:rsid w:val="00C33484"/>
    <w:rsid w:val="00C34C16"/>
    <w:rsid w:val="00C36595"/>
    <w:rsid w:val="00C447DD"/>
    <w:rsid w:val="00C45056"/>
    <w:rsid w:val="00C461F6"/>
    <w:rsid w:val="00C52B3D"/>
    <w:rsid w:val="00C52BF3"/>
    <w:rsid w:val="00C541DB"/>
    <w:rsid w:val="00C5767F"/>
    <w:rsid w:val="00C62717"/>
    <w:rsid w:val="00C65371"/>
    <w:rsid w:val="00C702F7"/>
    <w:rsid w:val="00C74802"/>
    <w:rsid w:val="00C764D5"/>
    <w:rsid w:val="00C77B56"/>
    <w:rsid w:val="00C84D40"/>
    <w:rsid w:val="00C8757A"/>
    <w:rsid w:val="00C941E9"/>
    <w:rsid w:val="00C95DAB"/>
    <w:rsid w:val="00C97AD9"/>
    <w:rsid w:val="00CA1EAC"/>
    <w:rsid w:val="00CB1708"/>
    <w:rsid w:val="00CB474F"/>
    <w:rsid w:val="00CC1E97"/>
    <w:rsid w:val="00CD0901"/>
    <w:rsid w:val="00CD7475"/>
    <w:rsid w:val="00D0264C"/>
    <w:rsid w:val="00D051BB"/>
    <w:rsid w:val="00D0641A"/>
    <w:rsid w:val="00D067E5"/>
    <w:rsid w:val="00D06C02"/>
    <w:rsid w:val="00D14752"/>
    <w:rsid w:val="00D1521F"/>
    <w:rsid w:val="00D15272"/>
    <w:rsid w:val="00D209B8"/>
    <w:rsid w:val="00D33116"/>
    <w:rsid w:val="00D35390"/>
    <w:rsid w:val="00D37C33"/>
    <w:rsid w:val="00D37E05"/>
    <w:rsid w:val="00D43F0A"/>
    <w:rsid w:val="00D463F1"/>
    <w:rsid w:val="00D51472"/>
    <w:rsid w:val="00D67180"/>
    <w:rsid w:val="00D7436E"/>
    <w:rsid w:val="00D74509"/>
    <w:rsid w:val="00D8079F"/>
    <w:rsid w:val="00D808B2"/>
    <w:rsid w:val="00D80B43"/>
    <w:rsid w:val="00D8721D"/>
    <w:rsid w:val="00D9601C"/>
    <w:rsid w:val="00D965CF"/>
    <w:rsid w:val="00DA10B9"/>
    <w:rsid w:val="00DA233C"/>
    <w:rsid w:val="00DA2F6A"/>
    <w:rsid w:val="00DA33DC"/>
    <w:rsid w:val="00DA384D"/>
    <w:rsid w:val="00DA6184"/>
    <w:rsid w:val="00DB1148"/>
    <w:rsid w:val="00DB1A30"/>
    <w:rsid w:val="00DB55D2"/>
    <w:rsid w:val="00DB5B91"/>
    <w:rsid w:val="00DB6351"/>
    <w:rsid w:val="00DC1237"/>
    <w:rsid w:val="00DC24AD"/>
    <w:rsid w:val="00DC41D1"/>
    <w:rsid w:val="00DC7800"/>
    <w:rsid w:val="00DD1EE3"/>
    <w:rsid w:val="00DD34C0"/>
    <w:rsid w:val="00DD6B72"/>
    <w:rsid w:val="00DE55B9"/>
    <w:rsid w:val="00E007FC"/>
    <w:rsid w:val="00E00E9C"/>
    <w:rsid w:val="00E0398B"/>
    <w:rsid w:val="00E04AB4"/>
    <w:rsid w:val="00E10D46"/>
    <w:rsid w:val="00E12C5D"/>
    <w:rsid w:val="00E168FA"/>
    <w:rsid w:val="00E30977"/>
    <w:rsid w:val="00E31CB2"/>
    <w:rsid w:val="00E34FEB"/>
    <w:rsid w:val="00E40154"/>
    <w:rsid w:val="00E428BA"/>
    <w:rsid w:val="00E524B5"/>
    <w:rsid w:val="00E713F6"/>
    <w:rsid w:val="00E72ED3"/>
    <w:rsid w:val="00E73B63"/>
    <w:rsid w:val="00E75BE2"/>
    <w:rsid w:val="00E82893"/>
    <w:rsid w:val="00E861E4"/>
    <w:rsid w:val="00E90E12"/>
    <w:rsid w:val="00E91DE9"/>
    <w:rsid w:val="00E94AC7"/>
    <w:rsid w:val="00E97BBC"/>
    <w:rsid w:val="00EA293E"/>
    <w:rsid w:val="00EA31DE"/>
    <w:rsid w:val="00EB1B1B"/>
    <w:rsid w:val="00EB51AE"/>
    <w:rsid w:val="00EC26AC"/>
    <w:rsid w:val="00EC631A"/>
    <w:rsid w:val="00EC7F8D"/>
    <w:rsid w:val="00ED6B35"/>
    <w:rsid w:val="00EE251E"/>
    <w:rsid w:val="00EE2C62"/>
    <w:rsid w:val="00EE711D"/>
    <w:rsid w:val="00EE7BCC"/>
    <w:rsid w:val="00EF42C2"/>
    <w:rsid w:val="00F02F45"/>
    <w:rsid w:val="00F03D8D"/>
    <w:rsid w:val="00F11C93"/>
    <w:rsid w:val="00F17898"/>
    <w:rsid w:val="00F21483"/>
    <w:rsid w:val="00F21718"/>
    <w:rsid w:val="00F2668A"/>
    <w:rsid w:val="00F32FCC"/>
    <w:rsid w:val="00F33ED5"/>
    <w:rsid w:val="00F3515E"/>
    <w:rsid w:val="00F50844"/>
    <w:rsid w:val="00F50E0C"/>
    <w:rsid w:val="00F5222C"/>
    <w:rsid w:val="00F52FBB"/>
    <w:rsid w:val="00F5529C"/>
    <w:rsid w:val="00F60996"/>
    <w:rsid w:val="00F64A4B"/>
    <w:rsid w:val="00F65883"/>
    <w:rsid w:val="00F71E57"/>
    <w:rsid w:val="00F766CB"/>
    <w:rsid w:val="00F76A22"/>
    <w:rsid w:val="00F778EF"/>
    <w:rsid w:val="00F8732C"/>
    <w:rsid w:val="00F90A71"/>
    <w:rsid w:val="00F92FC5"/>
    <w:rsid w:val="00F93D6A"/>
    <w:rsid w:val="00FA4CB4"/>
    <w:rsid w:val="00FA66C2"/>
    <w:rsid w:val="00FB29EC"/>
    <w:rsid w:val="00FC4101"/>
    <w:rsid w:val="00FD062B"/>
    <w:rsid w:val="00FE0E5A"/>
    <w:rsid w:val="00FE5AB6"/>
    <w:rsid w:val="00FF3450"/>
    <w:rsid w:val="00FF41B9"/>
    <w:rsid w:val="00FF4453"/>
    <w:rsid w:val="00FF46B7"/>
    <w:rsid w:val="00FF4FB8"/>
    <w:rsid w:val="00FF66C7"/>
    <w:rsid w:val="00FF790A"/>
    <w:rsid w:val="0F3CF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9934A"/>
  <w15:chartTrackingRefBased/>
  <w15:docId w15:val="{AA9B2FBF-CAA3-4D4D-96BA-CE294FE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7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204B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4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32C"/>
  </w:style>
  <w:style w:type="paragraph" w:styleId="Pidipagina">
    <w:name w:val="footer"/>
    <w:basedOn w:val="Normale"/>
    <w:link w:val="PidipaginaCarattere"/>
    <w:uiPriority w:val="99"/>
    <w:unhideWhenUsed/>
    <w:rsid w:val="00310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32C"/>
  </w:style>
  <w:style w:type="character" w:styleId="Enfasigrassetto">
    <w:name w:val="Strong"/>
    <w:basedOn w:val="Carpredefinitoparagrafo"/>
    <w:uiPriority w:val="22"/>
    <w:qFormat/>
    <w:rsid w:val="00D0641A"/>
    <w:rPr>
      <w:b/>
      <w:bCs/>
    </w:rPr>
  </w:style>
  <w:style w:type="character" w:styleId="Enfasicorsivo">
    <w:name w:val="Emphasis"/>
    <w:basedOn w:val="Carpredefinitoparagrafo"/>
    <w:uiPriority w:val="20"/>
    <w:qFormat/>
    <w:rsid w:val="00D0641A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C7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02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02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2F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F638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granterr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454621131C0E4082B6D2FA9AE5E021" ma:contentTypeVersion="14" ma:contentTypeDescription="Creare un nuovo documento." ma:contentTypeScope="" ma:versionID="01378eb99b4ac4e783589c291c87a521">
  <xsd:schema xmlns:xsd="http://www.w3.org/2001/XMLSchema" xmlns:xs="http://www.w3.org/2001/XMLSchema" xmlns:p="http://schemas.microsoft.com/office/2006/metadata/properties" xmlns:ns3="2f29fedd-9a8c-4d75-bb9a-e7f10098a656" xmlns:ns4="46c16765-c383-4cd3-bb53-9617cd753a33" targetNamespace="http://schemas.microsoft.com/office/2006/metadata/properties" ma:root="true" ma:fieldsID="35985320a8bb6338f9209b443253868a" ns3:_="" ns4:_="">
    <xsd:import namespace="2f29fedd-9a8c-4d75-bb9a-e7f10098a656"/>
    <xsd:import namespace="46c16765-c383-4cd3-bb53-9617cd753a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fedd-9a8c-4d75-bb9a-e7f10098a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16765-c383-4cd3-bb53-9617cd753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18C2B-7F3A-40E3-808A-C7E694AE1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C3DB-4B65-4D9F-94D8-5D925AC30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E3035-48FA-49FA-B5FB-C0D519EA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fedd-9a8c-4d75-bb9a-e7f10098a656"/>
    <ds:schemaRef ds:uri="46c16765-c383-4cd3-bb53-9617cd753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dab86de-2df2-4b43-9ee8-bf2ab6230549}" enabled="0" method="" siteId="{9dab86de-2df2-4b43-9ee8-bf2ab62305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Elisa Petrini</cp:lastModifiedBy>
  <cp:revision>2</cp:revision>
  <cp:lastPrinted>2022-03-17T12:15:00Z</cp:lastPrinted>
  <dcterms:created xsi:type="dcterms:W3CDTF">2025-06-16T11:57:00Z</dcterms:created>
  <dcterms:modified xsi:type="dcterms:W3CDTF">2025-06-16T11:57:00Z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0x010100A7454621131C0E4082B6D2FA9AE5E021</vt:lpwstr>
  </property>
</Properties>
</file>